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E" w:rsidRPr="001013EB" w:rsidRDefault="00923436" w:rsidP="002679A2">
      <w:pPr>
        <w:pStyle w:val="Title"/>
        <w:pBdr>
          <w:bottom w:val="single" w:sz="8" w:space="4" w:color="auto"/>
        </w:pBdr>
        <w:spacing w:after="0"/>
        <w:rPr>
          <w:color w:val="auto"/>
        </w:rPr>
      </w:pPr>
      <w:r w:rsidRPr="001013EB">
        <w:rPr>
          <w:color w:val="auto"/>
        </w:rPr>
        <w:t>Highly Capable</w:t>
      </w:r>
      <w:r w:rsidR="001A5A6A" w:rsidRPr="001013EB">
        <w:rPr>
          <w:color w:val="auto"/>
        </w:rPr>
        <w:t xml:space="preserve"> </w:t>
      </w:r>
      <w:r w:rsidRPr="001013EB">
        <w:rPr>
          <w:color w:val="auto"/>
          <w:sz w:val="18"/>
          <w:szCs w:val="18"/>
        </w:rPr>
        <w:t>Highly Capable Program (HC</w:t>
      </w:r>
      <w:r w:rsidR="00922500">
        <w:rPr>
          <w:color w:val="auto"/>
          <w:sz w:val="18"/>
          <w:szCs w:val="18"/>
        </w:rPr>
        <w:t>A</w:t>
      </w:r>
      <w:r w:rsidRPr="001013EB">
        <w:rPr>
          <w:color w:val="auto"/>
          <w:sz w:val="18"/>
          <w:szCs w:val="18"/>
        </w:rPr>
        <w:t>P)</w:t>
      </w:r>
    </w:p>
    <w:p w:rsidR="002679A2" w:rsidRPr="001013EB" w:rsidRDefault="00B63924" w:rsidP="002679A2">
      <w:pPr>
        <w:spacing w:after="0" w:line="240" w:lineRule="auto"/>
        <w:jc w:val="right"/>
        <w:rPr>
          <w:b/>
          <w:szCs w:val="18"/>
        </w:rPr>
      </w:pPr>
      <w:r>
        <w:rPr>
          <w:b/>
          <w:szCs w:val="18"/>
        </w:rPr>
        <w:t>LEA</w:t>
      </w:r>
      <w:r w:rsidR="002679A2" w:rsidRPr="001013EB">
        <w:rPr>
          <w:b/>
          <w:szCs w:val="18"/>
        </w:rPr>
        <w:tab/>
      </w:r>
      <w:r w:rsidR="002679A2" w:rsidRPr="001013EB">
        <w:rPr>
          <w:b/>
          <w:szCs w:val="18"/>
        </w:rPr>
        <w:tab/>
      </w:r>
      <w:r w:rsidR="00F61805" w:rsidRPr="001013EB">
        <w:rPr>
          <w:b/>
          <w:szCs w:val="18"/>
        </w:rPr>
        <w:tab/>
      </w:r>
      <w:r w:rsidR="002679A2" w:rsidRPr="001013EB">
        <w:rPr>
          <w:b/>
          <w:szCs w:val="18"/>
        </w:rPr>
        <w:tab/>
      </w:r>
      <w:r w:rsidR="002679A2" w:rsidRPr="001013EB">
        <w:rPr>
          <w:b/>
          <w:szCs w:val="18"/>
        </w:rPr>
        <w:tab/>
        <w:t>Program Monitor</w:t>
      </w:r>
      <w:r w:rsidR="002679A2" w:rsidRPr="001013EB">
        <w:rPr>
          <w:b/>
          <w:szCs w:val="18"/>
        </w:rPr>
        <w:tab/>
      </w:r>
      <w:r w:rsidR="002679A2" w:rsidRPr="001013EB">
        <w:rPr>
          <w:b/>
          <w:szCs w:val="18"/>
        </w:rPr>
        <w:tab/>
      </w:r>
      <w:r w:rsidR="00F61805" w:rsidRPr="001013EB">
        <w:rPr>
          <w:b/>
          <w:szCs w:val="18"/>
        </w:rPr>
        <w:tab/>
      </w:r>
      <w:r w:rsidR="002679A2" w:rsidRPr="001013EB">
        <w:rPr>
          <w:b/>
          <w:szCs w:val="18"/>
        </w:rPr>
        <w:tab/>
      </w:r>
      <w:r w:rsidR="002679A2" w:rsidRPr="001013EB">
        <w:rPr>
          <w:b/>
          <w:szCs w:val="18"/>
        </w:rPr>
        <w:tab/>
        <w:t>Date</w:t>
      </w:r>
      <w:r w:rsidR="00F61805" w:rsidRPr="001013EB">
        <w:rPr>
          <w:b/>
          <w:szCs w:val="18"/>
        </w:rPr>
        <w:tab/>
      </w:r>
      <w:r w:rsidR="00F61805" w:rsidRPr="001013EB">
        <w:rPr>
          <w:b/>
          <w:szCs w:val="18"/>
        </w:rPr>
        <w:tab/>
      </w:r>
      <w:r w:rsidR="00F61805" w:rsidRPr="001013EB">
        <w:rPr>
          <w:b/>
          <w:szCs w:val="18"/>
        </w:rPr>
        <w:tab/>
      </w:r>
      <w:r w:rsidR="00F61805" w:rsidRPr="001013EB">
        <w:rPr>
          <w:b/>
          <w:szCs w:val="18"/>
        </w:rPr>
        <w:tab/>
      </w:r>
    </w:p>
    <w:p w:rsidR="00E471A4" w:rsidRDefault="00E471A4" w:rsidP="002679A2">
      <w:pPr>
        <w:spacing w:after="0" w:line="240" w:lineRule="auto"/>
        <w:rPr>
          <w:szCs w:val="18"/>
        </w:rPr>
      </w:pPr>
    </w:p>
    <w:p w:rsidR="00775722" w:rsidRPr="00775722" w:rsidRDefault="00775722" w:rsidP="00775722">
      <w:pPr>
        <w:spacing w:after="0" w:line="240" w:lineRule="auto"/>
        <w:rPr>
          <w:i/>
          <w:szCs w:val="18"/>
        </w:rPr>
      </w:pPr>
      <w:r w:rsidRPr="00775722">
        <w:rPr>
          <w:i/>
          <w:szCs w:val="18"/>
        </w:rPr>
        <w:t xml:space="preserve">LEAs will be reviewed even if they are not accepting </w:t>
      </w:r>
      <w:r>
        <w:rPr>
          <w:i/>
          <w:szCs w:val="18"/>
        </w:rPr>
        <w:t>Highly Capable funds, as H</w:t>
      </w:r>
      <w:r w:rsidRPr="00775722">
        <w:rPr>
          <w:i/>
          <w:szCs w:val="18"/>
        </w:rPr>
        <w:t xml:space="preserve">ighly </w:t>
      </w:r>
      <w:r>
        <w:rPr>
          <w:i/>
          <w:szCs w:val="18"/>
        </w:rPr>
        <w:t>C</w:t>
      </w:r>
      <w:r w:rsidRPr="00775722">
        <w:rPr>
          <w:i/>
          <w:szCs w:val="18"/>
        </w:rPr>
        <w:t xml:space="preserve">apable is part of the program of basic education under RCW 28A.150.220(3). However, OSPI will provide two types of reviews based on district size. </w:t>
      </w:r>
    </w:p>
    <w:p w:rsidR="00775722" w:rsidRPr="0051493E" w:rsidRDefault="00775722" w:rsidP="00922500">
      <w:pPr>
        <w:pStyle w:val="ListParagraph"/>
        <w:numPr>
          <w:ilvl w:val="0"/>
          <w:numId w:val="23"/>
        </w:numPr>
        <w:spacing w:after="0" w:line="240" w:lineRule="auto"/>
        <w:ind w:left="360" w:hanging="180"/>
        <w:rPr>
          <w:i/>
          <w:szCs w:val="18"/>
        </w:rPr>
      </w:pPr>
      <w:r w:rsidRPr="00775722">
        <w:rPr>
          <w:i/>
          <w:szCs w:val="18"/>
        </w:rPr>
        <w:t>LEAs with Over 1,000 Students: The purpose of the review is to offer technical assistance from OSPI, evaluate the implementation and effectiveness of the Highly Capable LEA Plan, and improve service delivery to students based on their evaluation.</w:t>
      </w:r>
      <w:r w:rsidR="002828ED">
        <w:rPr>
          <w:i/>
          <w:szCs w:val="18"/>
        </w:rPr>
        <w:t xml:space="preserve"> F</w:t>
      </w:r>
      <w:r w:rsidR="002828ED" w:rsidRPr="005D2E26">
        <w:rPr>
          <w:i/>
          <w:szCs w:val="18"/>
        </w:rPr>
        <w:t>or all evidence with student or parent data, please redact identifiers.</w:t>
      </w:r>
    </w:p>
    <w:p w:rsidR="00775722" w:rsidRPr="00775722" w:rsidRDefault="00775722" w:rsidP="00922500">
      <w:pPr>
        <w:pStyle w:val="ListParagraph"/>
        <w:numPr>
          <w:ilvl w:val="0"/>
          <w:numId w:val="23"/>
        </w:numPr>
        <w:spacing w:after="0" w:line="240" w:lineRule="auto"/>
        <w:ind w:left="360" w:hanging="180"/>
        <w:rPr>
          <w:i/>
          <w:szCs w:val="18"/>
        </w:rPr>
      </w:pPr>
      <w:r w:rsidRPr="00775722">
        <w:rPr>
          <w:i/>
          <w:szCs w:val="18"/>
        </w:rPr>
        <w:t>LEAs with Under 1,000 Students: OSPI will follow the precedent to reduce reporting burden for our smaller LEAs. During CPR, those LEAs may select to complete the process for larger LEAs, or opt for an abbreviated desk review. They will receive technical assistance on ideas for serving their LEA’s Highly Capable students, as well as examples of how LEAs of similar size are using their Highly Capable dollars.</w:t>
      </w:r>
    </w:p>
    <w:p w:rsidR="00FF0B60" w:rsidRPr="001013EB" w:rsidRDefault="00FF0B60" w:rsidP="002679A2">
      <w:pPr>
        <w:spacing w:after="0" w:line="240" w:lineRule="auto"/>
        <w:rPr>
          <w:szCs w:val="18"/>
        </w:rPr>
      </w:pPr>
    </w:p>
    <w:tbl>
      <w:tblPr>
        <w:tblStyle w:val="TableGrid"/>
        <w:tblW w:w="14580" w:type="dxa"/>
        <w:tblInd w:w="-95" w:type="dxa"/>
        <w:tblLayout w:type="fixed"/>
        <w:tblLook w:val="04A0" w:firstRow="1" w:lastRow="0" w:firstColumn="1" w:lastColumn="0" w:noHBand="0" w:noVBand="1"/>
      </w:tblPr>
      <w:tblGrid>
        <w:gridCol w:w="634"/>
        <w:gridCol w:w="2880"/>
        <w:gridCol w:w="8816"/>
        <w:gridCol w:w="2250"/>
      </w:tblGrid>
      <w:tr w:rsidR="00AF1314" w:rsidRPr="001013EB" w:rsidTr="00AF1314">
        <w:trPr>
          <w:tblHeader/>
        </w:trPr>
        <w:tc>
          <w:tcPr>
            <w:tcW w:w="634" w:type="dxa"/>
            <w:shd w:val="clear" w:color="auto" w:fill="BFBFBF" w:themeFill="background1" w:themeFillShade="BF"/>
          </w:tcPr>
          <w:p w:rsidR="00AF1314" w:rsidRPr="001013EB" w:rsidRDefault="00AF1314" w:rsidP="000953F8">
            <w:pPr>
              <w:rPr>
                <w:rFonts w:cs="Arial"/>
                <w:b/>
                <w:szCs w:val="18"/>
              </w:rPr>
            </w:pPr>
            <w:r w:rsidRPr="001013EB">
              <w:rPr>
                <w:rFonts w:cs="Arial"/>
                <w:b/>
                <w:szCs w:val="18"/>
              </w:rPr>
              <w:t>Item</w:t>
            </w:r>
          </w:p>
        </w:tc>
        <w:tc>
          <w:tcPr>
            <w:tcW w:w="2880" w:type="dxa"/>
            <w:shd w:val="clear" w:color="auto" w:fill="BFBFBF" w:themeFill="background1" w:themeFillShade="BF"/>
          </w:tcPr>
          <w:p w:rsidR="00AF1314" w:rsidRPr="001013EB" w:rsidRDefault="00AF1314" w:rsidP="000953F8">
            <w:pPr>
              <w:rPr>
                <w:rFonts w:cs="Arial"/>
                <w:b/>
                <w:szCs w:val="18"/>
              </w:rPr>
            </w:pPr>
            <w:r w:rsidRPr="001013EB">
              <w:rPr>
                <w:rFonts w:cs="Arial"/>
                <w:b/>
                <w:szCs w:val="18"/>
              </w:rPr>
              <w:t>Description</w:t>
            </w:r>
          </w:p>
        </w:tc>
        <w:tc>
          <w:tcPr>
            <w:tcW w:w="8816" w:type="dxa"/>
            <w:shd w:val="clear" w:color="auto" w:fill="BFBFBF" w:themeFill="background1" w:themeFillShade="BF"/>
          </w:tcPr>
          <w:p w:rsidR="00AF1314" w:rsidRPr="001013EB" w:rsidRDefault="00AF1314" w:rsidP="000953F8">
            <w:pPr>
              <w:tabs>
                <w:tab w:val="right" w:pos="2484"/>
              </w:tabs>
              <w:rPr>
                <w:rFonts w:cs="Arial"/>
                <w:b/>
                <w:szCs w:val="18"/>
              </w:rPr>
            </w:pPr>
            <w:r w:rsidRPr="001013EB">
              <w:rPr>
                <w:rFonts w:cs="Arial"/>
                <w:b/>
                <w:szCs w:val="18"/>
              </w:rPr>
              <w:t>Evidence</w:t>
            </w:r>
            <w:r w:rsidRPr="001013EB">
              <w:rPr>
                <w:rFonts w:cs="Arial"/>
                <w:b/>
                <w:szCs w:val="18"/>
              </w:rPr>
              <w:tab/>
            </w:r>
          </w:p>
        </w:tc>
        <w:tc>
          <w:tcPr>
            <w:tcW w:w="2250" w:type="dxa"/>
            <w:shd w:val="clear" w:color="auto" w:fill="BFBFBF" w:themeFill="background1" w:themeFillShade="BF"/>
          </w:tcPr>
          <w:p w:rsidR="00AF1314" w:rsidRPr="00BF53A5" w:rsidRDefault="00AF1314" w:rsidP="000953F8">
            <w:pPr>
              <w:rPr>
                <w:rFonts w:cs="Arial"/>
                <w:b/>
                <w:szCs w:val="18"/>
              </w:rPr>
            </w:pPr>
            <w:bookmarkStart w:id="0" w:name="_GoBack"/>
            <w:bookmarkEnd w:id="0"/>
            <w:r>
              <w:rPr>
                <w:rFonts w:cs="Arial"/>
                <w:b/>
                <w:szCs w:val="18"/>
              </w:rPr>
              <w:t>Determination</w:t>
            </w:r>
          </w:p>
        </w:tc>
      </w:tr>
      <w:tr w:rsidR="00AF1314" w:rsidRPr="001013EB" w:rsidTr="00AF1314">
        <w:tc>
          <w:tcPr>
            <w:tcW w:w="634" w:type="dxa"/>
            <w:shd w:val="clear" w:color="auto" w:fill="auto"/>
          </w:tcPr>
          <w:p w:rsidR="00AF1314" w:rsidRPr="001013EB" w:rsidRDefault="00AF1314" w:rsidP="000953F8">
            <w:pPr>
              <w:rPr>
                <w:rFonts w:cs="Times New Roman"/>
                <w:szCs w:val="18"/>
              </w:rPr>
            </w:pPr>
            <w:r w:rsidRPr="001013EB">
              <w:rPr>
                <w:rFonts w:cs="Times New Roman"/>
                <w:szCs w:val="18"/>
              </w:rPr>
              <w:t>11.1</w:t>
            </w:r>
          </w:p>
        </w:tc>
        <w:tc>
          <w:tcPr>
            <w:tcW w:w="2880" w:type="dxa"/>
            <w:shd w:val="clear" w:color="auto" w:fill="auto"/>
          </w:tcPr>
          <w:p w:rsidR="00AF1314" w:rsidRPr="0051493E" w:rsidRDefault="00AF1314" w:rsidP="000953F8">
            <w:pPr>
              <w:rPr>
                <w:rFonts w:cs="Times New Roman"/>
                <w:b/>
                <w:szCs w:val="18"/>
              </w:rPr>
            </w:pPr>
            <w:r w:rsidRPr="00F14EBE">
              <w:rPr>
                <w:rFonts w:cs="Times New Roman"/>
                <w:b/>
                <w:szCs w:val="18"/>
              </w:rPr>
              <w:t>Annual Public Announcement of ID Activity</w:t>
            </w:r>
          </w:p>
          <w:p w:rsidR="00AF1314" w:rsidRPr="00EB65DA" w:rsidRDefault="00AF1314" w:rsidP="000953F8">
            <w:pPr>
              <w:rPr>
                <w:rFonts w:cs="Times New Roman"/>
                <w:i/>
                <w:szCs w:val="18"/>
              </w:rPr>
            </w:pPr>
            <w:r>
              <w:rPr>
                <w:rFonts w:cs="Times New Roman"/>
                <w:i/>
                <w:szCs w:val="18"/>
              </w:rPr>
              <w:t>LEA</w:t>
            </w:r>
            <w:r w:rsidRPr="00EB65DA">
              <w:rPr>
                <w:rFonts w:cs="Times New Roman"/>
                <w:i/>
                <w:szCs w:val="18"/>
              </w:rPr>
              <w:t xml:space="preserve"> notifies the public before any major identification activity. </w:t>
            </w:r>
          </w:p>
          <w:p w:rsidR="00AF1314" w:rsidRPr="00EB65DA" w:rsidRDefault="00AF1314" w:rsidP="000953F8">
            <w:pPr>
              <w:pStyle w:val="Calibri"/>
              <w:rPr>
                <w:b w:val="0"/>
                <w:i/>
              </w:rPr>
            </w:pPr>
          </w:p>
          <w:p w:rsidR="00AF1314" w:rsidRPr="00EB65DA" w:rsidRDefault="00AF1314" w:rsidP="000953F8">
            <w:pPr>
              <w:pStyle w:val="Calibri"/>
              <w:rPr>
                <w:b w:val="0"/>
                <w:i/>
              </w:rPr>
            </w:pPr>
            <w:r w:rsidRPr="00EB65DA">
              <w:rPr>
                <w:b w:val="0"/>
                <w:i/>
              </w:rPr>
              <w:t xml:space="preserve">Notifications translated into languages spoken in your </w:t>
            </w:r>
            <w:r>
              <w:rPr>
                <w:b w:val="0"/>
                <w:i/>
              </w:rPr>
              <w:t>LEA</w:t>
            </w:r>
            <w:r w:rsidRPr="00EB65DA">
              <w:rPr>
                <w:b w:val="0"/>
                <w:i/>
              </w:rPr>
              <w:t>.</w:t>
            </w:r>
          </w:p>
          <w:p w:rsidR="00AF1314" w:rsidRPr="00EB65DA" w:rsidRDefault="00AF1314" w:rsidP="000953F8">
            <w:pPr>
              <w:pStyle w:val="Calibri"/>
              <w:rPr>
                <w:b w:val="0"/>
                <w:i/>
              </w:rPr>
            </w:pPr>
          </w:p>
          <w:p w:rsidR="00AF1314" w:rsidRPr="00EB65DA" w:rsidRDefault="00AF1314" w:rsidP="000953F8">
            <w:pPr>
              <w:pStyle w:val="Calibri"/>
              <w:rPr>
                <w:b w:val="0"/>
                <w:i/>
              </w:rPr>
            </w:pPr>
            <w:r w:rsidRPr="00EB65DA">
              <w:rPr>
                <w:b w:val="0"/>
                <w:i/>
              </w:rPr>
              <w:t xml:space="preserve">Notifications published across multiple communication channels with </w:t>
            </w:r>
            <w:r>
              <w:rPr>
                <w:b w:val="0"/>
                <w:i/>
              </w:rPr>
              <w:t xml:space="preserve">sufficient </w:t>
            </w:r>
            <w:r w:rsidRPr="00EB65DA">
              <w:rPr>
                <w:b w:val="0"/>
                <w:i/>
              </w:rPr>
              <w:t>circulation</w:t>
            </w:r>
            <w:r>
              <w:rPr>
                <w:b w:val="0"/>
                <w:i/>
              </w:rPr>
              <w:t xml:space="preserve"> to reach families in all communities </w:t>
            </w:r>
            <w:r w:rsidRPr="00EB65DA">
              <w:rPr>
                <w:b w:val="0"/>
                <w:i/>
              </w:rPr>
              <w:t xml:space="preserve">throughout the </w:t>
            </w:r>
            <w:r>
              <w:rPr>
                <w:b w:val="0"/>
                <w:i/>
              </w:rPr>
              <w:t>LEA</w:t>
            </w:r>
            <w:r w:rsidRPr="00EB65DA">
              <w:rPr>
                <w:b w:val="0"/>
                <w:i/>
              </w:rPr>
              <w:t>.</w:t>
            </w:r>
          </w:p>
          <w:p w:rsidR="00AF1314" w:rsidRDefault="00AF1314" w:rsidP="000953F8">
            <w:pPr>
              <w:rPr>
                <w:rFonts w:cs="Times New Roman"/>
                <w:i/>
                <w:szCs w:val="18"/>
              </w:rPr>
            </w:pPr>
          </w:p>
          <w:p w:rsidR="00AF1314" w:rsidRPr="00F14EBE" w:rsidRDefault="00AF1314" w:rsidP="000953F8">
            <w:pPr>
              <w:rPr>
                <w:rFonts w:cs="Times New Roman"/>
                <w:szCs w:val="18"/>
              </w:rPr>
            </w:pPr>
            <w:r w:rsidRPr="00EB65DA">
              <w:rPr>
                <w:rFonts w:cs="Times New Roman"/>
                <w:i/>
                <w:szCs w:val="18"/>
              </w:rPr>
              <w:t>WAC 392-170-042.</w:t>
            </w:r>
          </w:p>
        </w:tc>
        <w:tc>
          <w:tcPr>
            <w:tcW w:w="8816" w:type="dxa"/>
            <w:shd w:val="clear" w:color="auto" w:fill="auto"/>
          </w:tcPr>
          <w:p w:rsidR="00AF1314" w:rsidRPr="0051493E" w:rsidRDefault="00AF1314" w:rsidP="000953F8">
            <w:pPr>
              <w:pStyle w:val="Calibri"/>
            </w:pPr>
            <w:r>
              <w:t>LEA</w:t>
            </w:r>
            <w:r w:rsidRPr="001013EB">
              <w:t xml:space="preserve"> Level</w:t>
            </w:r>
          </w:p>
          <w:p w:rsidR="00AF1314" w:rsidRPr="001013EB" w:rsidRDefault="00AF1314" w:rsidP="000953F8">
            <w:pPr>
              <w:pStyle w:val="Calibri"/>
              <w:rPr>
                <w:b w:val="0"/>
              </w:rPr>
            </w:pPr>
            <w:r w:rsidRPr="001013EB">
              <w:rPr>
                <w:rFonts w:ascii="Cambria Math" w:hAnsi="Cambria Math"/>
                <w:b w:val="0"/>
              </w:rPr>
              <w:t>⧠</w:t>
            </w:r>
            <w:r w:rsidRPr="001013EB">
              <w:rPr>
                <w:b w:val="0"/>
              </w:rPr>
              <w:t xml:space="preserve"> </w:t>
            </w:r>
            <w:r>
              <w:rPr>
                <w:b w:val="0"/>
              </w:rPr>
              <w:t>A. One example of a p</w:t>
            </w:r>
            <w:r w:rsidRPr="001013EB">
              <w:rPr>
                <w:b w:val="0"/>
              </w:rPr>
              <w:t>ublic announcement for</w:t>
            </w:r>
            <w:r>
              <w:rPr>
                <w:b w:val="0"/>
              </w:rPr>
              <w:t xml:space="preserve"> a</w:t>
            </w:r>
            <w:r w:rsidRPr="001013EB">
              <w:rPr>
                <w:b w:val="0"/>
              </w:rPr>
              <w:t xml:space="preserve"> major </w:t>
            </w:r>
            <w:r>
              <w:rPr>
                <w:b w:val="0"/>
              </w:rPr>
              <w:t>HCP identification activity.</w:t>
            </w:r>
          </w:p>
          <w:p w:rsidR="00AF1314" w:rsidRPr="001013EB" w:rsidRDefault="00AF1314" w:rsidP="000953F8">
            <w:pPr>
              <w:pStyle w:val="Calibri"/>
              <w:rPr>
                <w:b w:val="0"/>
              </w:rPr>
            </w:pPr>
            <w:r w:rsidRPr="001013EB">
              <w:rPr>
                <w:rFonts w:ascii="Cambria Math" w:hAnsi="Cambria Math"/>
                <w:b w:val="0"/>
              </w:rPr>
              <w:t>⧠</w:t>
            </w:r>
            <w:r w:rsidRPr="001013EB">
              <w:rPr>
                <w:b w:val="0"/>
              </w:rPr>
              <w:t xml:space="preserve"> </w:t>
            </w:r>
            <w:r>
              <w:rPr>
                <w:b w:val="0"/>
              </w:rPr>
              <w:t>B. List the languages and describe the communication channels LEA uses to announce major HCP identification activities.</w:t>
            </w:r>
          </w:p>
          <w:p w:rsidR="00AF1314" w:rsidRDefault="00AF1314" w:rsidP="000953F8">
            <w:pPr>
              <w:pStyle w:val="Calibri"/>
            </w:pPr>
          </w:p>
          <w:p w:rsidR="00AF1314" w:rsidRPr="001013EB" w:rsidRDefault="00AF1314" w:rsidP="000953F8">
            <w:pPr>
              <w:pStyle w:val="Calibri"/>
            </w:pPr>
          </w:p>
        </w:tc>
        <w:tc>
          <w:tcPr>
            <w:tcW w:w="2250" w:type="dxa"/>
          </w:tcPr>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rsidR="00AF1314" w:rsidRPr="000953F8" w:rsidRDefault="00AF1314" w:rsidP="000953F8">
            <w:pPr>
              <w:pStyle w:val="Calibri"/>
              <w:rPr>
                <w:b w:val="0"/>
              </w:rPr>
            </w:pPr>
            <w:r w:rsidRPr="000953F8">
              <w:rPr>
                <w:rFonts w:ascii="Cambria Math" w:hAnsi="Cambria Math"/>
                <w:b w:val="0"/>
              </w:rPr>
              <w:t>⧠</w:t>
            </w:r>
            <w:r w:rsidRPr="000953F8">
              <w:rPr>
                <w:b w:val="0"/>
              </w:rPr>
              <w:t xml:space="preserve"> N/A</w:t>
            </w:r>
          </w:p>
        </w:tc>
      </w:tr>
      <w:tr w:rsidR="00AF1314" w:rsidRPr="001013EB" w:rsidTr="00AF1314">
        <w:tc>
          <w:tcPr>
            <w:tcW w:w="634" w:type="dxa"/>
            <w:shd w:val="clear" w:color="auto" w:fill="F2F2F2" w:themeFill="background1" w:themeFillShade="F2"/>
          </w:tcPr>
          <w:p w:rsidR="00AF1314" w:rsidRPr="001013EB" w:rsidRDefault="00AF1314" w:rsidP="000953F8">
            <w:pPr>
              <w:rPr>
                <w:rFonts w:cs="Times New Roman"/>
                <w:szCs w:val="18"/>
              </w:rPr>
            </w:pPr>
            <w:r w:rsidRPr="001013EB">
              <w:rPr>
                <w:rFonts w:cs="Times New Roman"/>
                <w:szCs w:val="18"/>
              </w:rPr>
              <w:t>11.2</w:t>
            </w:r>
          </w:p>
        </w:tc>
        <w:tc>
          <w:tcPr>
            <w:tcW w:w="2880" w:type="dxa"/>
            <w:shd w:val="clear" w:color="auto" w:fill="F2F2F2" w:themeFill="background1" w:themeFillShade="F2"/>
          </w:tcPr>
          <w:p w:rsidR="00AF1314" w:rsidRPr="001013EB" w:rsidRDefault="00AF1314" w:rsidP="000953F8">
            <w:pPr>
              <w:rPr>
                <w:rFonts w:cs="Times New Roman"/>
                <w:b/>
                <w:szCs w:val="18"/>
              </w:rPr>
            </w:pPr>
            <w:r w:rsidRPr="001013EB">
              <w:rPr>
                <w:rFonts w:cs="Times New Roman"/>
                <w:b/>
                <w:szCs w:val="18"/>
              </w:rPr>
              <w:t>Identification Process</w:t>
            </w:r>
            <w:r>
              <w:rPr>
                <w:rFonts w:cs="Times New Roman"/>
                <w:b/>
                <w:szCs w:val="18"/>
              </w:rPr>
              <w:t xml:space="preserve"> &amp; Consent</w:t>
            </w:r>
          </w:p>
          <w:p w:rsidR="00AF1314" w:rsidRPr="001013EB" w:rsidRDefault="00AF1314" w:rsidP="000953F8">
            <w:pPr>
              <w:rPr>
                <w:rFonts w:cs="Times New Roman"/>
                <w:i/>
                <w:szCs w:val="18"/>
              </w:rPr>
            </w:pPr>
          </w:p>
          <w:p w:rsidR="00AF1314" w:rsidRPr="008307AE" w:rsidRDefault="00AF1314" w:rsidP="000953F8">
            <w:pPr>
              <w:rPr>
                <w:rFonts w:cs="Times New Roman"/>
                <w:b/>
                <w:i/>
                <w:szCs w:val="18"/>
              </w:rPr>
            </w:pPr>
            <w:r w:rsidRPr="008307AE">
              <w:rPr>
                <w:rFonts w:cs="Times New Roman"/>
                <w:b/>
                <w:i/>
                <w:szCs w:val="18"/>
              </w:rPr>
              <w:t xml:space="preserve">Referral Procedure </w:t>
            </w:r>
          </w:p>
          <w:p w:rsidR="00AF1314" w:rsidRPr="008307AE" w:rsidRDefault="00AF1314" w:rsidP="000953F8">
            <w:pPr>
              <w:rPr>
                <w:rFonts w:cs="Times New Roman"/>
                <w:i/>
                <w:szCs w:val="18"/>
              </w:rPr>
            </w:pPr>
            <w:r>
              <w:rPr>
                <w:rFonts w:cs="Times New Roman"/>
                <w:i/>
                <w:szCs w:val="18"/>
              </w:rPr>
              <w:t>LEA</w:t>
            </w:r>
            <w:r w:rsidRPr="008307AE">
              <w:rPr>
                <w:rFonts w:cs="Times New Roman"/>
                <w:i/>
                <w:szCs w:val="18"/>
              </w:rPr>
              <w:t xml:space="preserve"> uses a referral process. The referral process </w:t>
            </w:r>
            <w:r w:rsidRPr="002A16A1">
              <w:rPr>
                <w:rFonts w:cs="Times New Roman"/>
                <w:szCs w:val="18"/>
              </w:rPr>
              <w:t>could include</w:t>
            </w:r>
            <w:r w:rsidRPr="008307AE">
              <w:rPr>
                <w:rFonts w:cs="Times New Roman"/>
                <w:i/>
                <w:szCs w:val="18"/>
              </w:rPr>
              <w:t xml:space="preserve"> a method to screen out students, who do not qualify for the HCP, based on clear current evidence and “multiple objective criteria.” </w:t>
            </w:r>
          </w:p>
          <w:p w:rsidR="00AF1314" w:rsidRPr="008307AE" w:rsidRDefault="00AF1314" w:rsidP="000953F8">
            <w:pPr>
              <w:rPr>
                <w:rFonts w:cs="Times New Roman"/>
                <w:i/>
                <w:szCs w:val="18"/>
              </w:rPr>
            </w:pPr>
            <w:r w:rsidRPr="008307AE">
              <w:rPr>
                <w:rFonts w:cs="Times New Roman"/>
                <w:i/>
                <w:szCs w:val="18"/>
              </w:rPr>
              <w:t>RCW 28A.185.030; WAC 392-170-045; WAC 392-170-055.</w:t>
            </w:r>
          </w:p>
          <w:p w:rsidR="00AF1314" w:rsidRPr="008307AE" w:rsidRDefault="00AF1314" w:rsidP="000953F8">
            <w:pPr>
              <w:rPr>
                <w:rFonts w:cs="Times New Roman"/>
                <w:i/>
                <w:szCs w:val="18"/>
              </w:rPr>
            </w:pPr>
          </w:p>
          <w:p w:rsidR="00AF1314" w:rsidRDefault="00AF1314" w:rsidP="000953F8">
            <w:pPr>
              <w:rPr>
                <w:rFonts w:cs="Times New Roman"/>
                <w:i/>
                <w:szCs w:val="18"/>
              </w:rPr>
            </w:pPr>
            <w:r w:rsidRPr="008307AE">
              <w:rPr>
                <w:rFonts w:cs="Times New Roman"/>
                <w:b/>
                <w:i/>
                <w:szCs w:val="18"/>
              </w:rPr>
              <w:t>Assessment Process</w:t>
            </w:r>
            <w:r>
              <w:rPr>
                <w:rFonts w:cs="Times New Roman"/>
                <w:b/>
                <w:i/>
                <w:szCs w:val="18"/>
              </w:rPr>
              <w:br/>
            </w:r>
            <w:r>
              <w:rPr>
                <w:rFonts w:cs="Times New Roman"/>
                <w:i/>
                <w:szCs w:val="18"/>
              </w:rPr>
              <w:t>LEA</w:t>
            </w:r>
            <w:r w:rsidRPr="008307AE">
              <w:rPr>
                <w:rFonts w:cs="Times New Roman"/>
                <w:i/>
                <w:szCs w:val="18"/>
              </w:rPr>
              <w:t xml:space="preserve"> </w:t>
            </w:r>
            <w:r>
              <w:rPr>
                <w:rFonts w:cs="Times New Roman"/>
                <w:i/>
                <w:szCs w:val="18"/>
              </w:rPr>
              <w:t>uses</w:t>
            </w:r>
            <w:r w:rsidRPr="008307AE">
              <w:rPr>
                <w:rFonts w:cs="Times New Roman"/>
                <w:i/>
                <w:szCs w:val="18"/>
              </w:rPr>
              <w:t xml:space="preserve"> a clearly defined and written assessment process that uses “multiple objective criteria” </w:t>
            </w:r>
            <w:r>
              <w:rPr>
                <w:rFonts w:cs="Times New Roman"/>
                <w:i/>
                <w:szCs w:val="18"/>
              </w:rPr>
              <w:t xml:space="preserve">for students referred </w:t>
            </w:r>
            <w:r w:rsidRPr="008307AE">
              <w:rPr>
                <w:rFonts w:cs="Times New Roman"/>
                <w:i/>
                <w:szCs w:val="18"/>
              </w:rPr>
              <w:t>for the HCP. RCW 28A.185.030; WAC 392-170-055.</w:t>
            </w:r>
          </w:p>
          <w:p w:rsidR="00AF1314" w:rsidRPr="008307AE" w:rsidRDefault="00AF1314" w:rsidP="000953F8">
            <w:pPr>
              <w:rPr>
                <w:rFonts w:cs="Times New Roman"/>
                <w:i/>
                <w:szCs w:val="18"/>
              </w:rPr>
            </w:pPr>
          </w:p>
          <w:p w:rsidR="00AF1314" w:rsidRPr="008307AE" w:rsidRDefault="00AF1314" w:rsidP="000953F8">
            <w:pPr>
              <w:rPr>
                <w:rFonts w:cs="Times New Roman"/>
                <w:b/>
                <w:i/>
                <w:szCs w:val="18"/>
              </w:rPr>
            </w:pPr>
            <w:r w:rsidRPr="008307AE">
              <w:rPr>
                <w:rFonts w:cs="Times New Roman"/>
                <w:b/>
                <w:i/>
                <w:szCs w:val="18"/>
              </w:rPr>
              <w:lastRenderedPageBreak/>
              <w:t xml:space="preserve">Selection </w:t>
            </w:r>
            <w:r>
              <w:rPr>
                <w:rFonts w:cs="Times New Roman"/>
                <w:b/>
                <w:i/>
                <w:szCs w:val="18"/>
              </w:rPr>
              <w:t>System</w:t>
            </w:r>
          </w:p>
          <w:p w:rsidR="00AF1314" w:rsidRPr="001013EB" w:rsidRDefault="00AF1314" w:rsidP="000953F8">
            <w:pPr>
              <w:rPr>
                <w:rFonts w:cs="Times New Roman"/>
                <w:i/>
                <w:szCs w:val="18"/>
              </w:rPr>
            </w:pPr>
            <w:r>
              <w:rPr>
                <w:rFonts w:cs="Times New Roman"/>
                <w:i/>
                <w:szCs w:val="18"/>
              </w:rPr>
              <w:t>LEA’s multidisciplinary selection committee</w:t>
            </w:r>
            <w:r w:rsidRPr="008307AE">
              <w:rPr>
                <w:rFonts w:cs="Times New Roman"/>
                <w:i/>
                <w:szCs w:val="18"/>
              </w:rPr>
              <w:t xml:space="preserve"> uses a “selection system </w:t>
            </w:r>
            <w:r w:rsidRPr="008307AE">
              <w:rPr>
                <w:i/>
                <w:szCs w:val="18"/>
              </w:rPr>
              <w:t xml:space="preserve">that determines which students are the </w:t>
            </w:r>
            <w:r>
              <w:rPr>
                <w:i/>
                <w:szCs w:val="18"/>
              </w:rPr>
              <w:t>“</w:t>
            </w:r>
            <w:r w:rsidRPr="008307AE">
              <w:rPr>
                <w:i/>
                <w:szCs w:val="18"/>
              </w:rPr>
              <w:t>most highly capable</w:t>
            </w:r>
            <w:r>
              <w:rPr>
                <w:i/>
                <w:szCs w:val="18"/>
              </w:rPr>
              <w:t>”</w:t>
            </w:r>
            <w:r w:rsidRPr="008307AE">
              <w:rPr>
                <w:i/>
                <w:szCs w:val="18"/>
              </w:rPr>
              <w:t xml:space="preserve"> as defined under WAC </w:t>
            </w:r>
            <w:hyperlink r:id="rId8" w:history="1">
              <w:r w:rsidRPr="008307AE">
                <w:rPr>
                  <w:rStyle w:val="Hyperlink"/>
                  <w:rFonts w:cs="Arial"/>
                  <w:i/>
                  <w:szCs w:val="18"/>
                </w:rPr>
                <w:t>392-170-055</w:t>
              </w:r>
            </w:hyperlink>
            <w:r w:rsidRPr="008307AE">
              <w:rPr>
                <w:i/>
                <w:szCs w:val="18"/>
              </w:rPr>
              <w:t>, and other data colle</w:t>
            </w:r>
            <w:r>
              <w:rPr>
                <w:i/>
                <w:szCs w:val="18"/>
              </w:rPr>
              <w:t xml:space="preserve">cted in the assessment process. </w:t>
            </w:r>
            <w:r w:rsidRPr="001013EB">
              <w:rPr>
                <w:rFonts w:cs="Times New Roman"/>
                <w:i/>
                <w:szCs w:val="18"/>
              </w:rPr>
              <w:t>RCW 28A.185.030; WAC 392-170-070 and 075</w:t>
            </w:r>
            <w:r>
              <w:rPr>
                <w:rFonts w:cs="Times New Roman"/>
                <w:i/>
                <w:szCs w:val="18"/>
              </w:rPr>
              <w:t>.</w:t>
            </w:r>
          </w:p>
          <w:p w:rsidR="00AF1314" w:rsidRPr="001013EB" w:rsidRDefault="00AF1314" w:rsidP="000953F8">
            <w:pPr>
              <w:rPr>
                <w:rFonts w:cs="Times New Roman"/>
                <w:i/>
                <w:szCs w:val="18"/>
              </w:rPr>
            </w:pPr>
          </w:p>
          <w:p w:rsidR="00AF1314" w:rsidRPr="001013EB" w:rsidRDefault="00AF1314" w:rsidP="000953F8">
            <w:pPr>
              <w:rPr>
                <w:rFonts w:cs="Times New Roman"/>
                <w:b/>
                <w:i/>
                <w:szCs w:val="18"/>
              </w:rPr>
            </w:pPr>
            <w:r w:rsidRPr="001013EB">
              <w:rPr>
                <w:rFonts w:cs="Times New Roman"/>
                <w:b/>
                <w:i/>
                <w:szCs w:val="18"/>
              </w:rPr>
              <w:t>Appeal Procedure</w:t>
            </w:r>
          </w:p>
          <w:p w:rsidR="00AF1314" w:rsidRDefault="00AF1314" w:rsidP="000953F8">
            <w:pPr>
              <w:rPr>
                <w:rFonts w:cs="Times New Roman"/>
                <w:i/>
                <w:szCs w:val="18"/>
              </w:rPr>
            </w:pPr>
            <w:r>
              <w:rPr>
                <w:rFonts w:cs="Times New Roman"/>
                <w:i/>
                <w:szCs w:val="18"/>
              </w:rPr>
              <w:t xml:space="preserve">LEA uses a procedure that resolves appeals related to selections made by the </w:t>
            </w:r>
            <w:r w:rsidRPr="001013EB">
              <w:rPr>
                <w:rFonts w:cs="Times New Roman"/>
                <w:i/>
                <w:szCs w:val="18"/>
              </w:rPr>
              <w:t xml:space="preserve">multidisciplinary </w:t>
            </w:r>
            <w:r>
              <w:rPr>
                <w:rFonts w:cs="Times New Roman"/>
                <w:i/>
                <w:szCs w:val="18"/>
              </w:rPr>
              <w:t>selection committee. WAC 392-170-076.</w:t>
            </w:r>
          </w:p>
          <w:p w:rsidR="00AF1314" w:rsidRDefault="00AF1314" w:rsidP="000953F8">
            <w:pPr>
              <w:rPr>
                <w:rFonts w:cs="Times New Roman"/>
                <w:i/>
                <w:szCs w:val="18"/>
              </w:rPr>
            </w:pPr>
          </w:p>
          <w:p w:rsidR="00AF1314" w:rsidRDefault="00AF1314" w:rsidP="000953F8">
            <w:pPr>
              <w:rPr>
                <w:rFonts w:cs="Times New Roman"/>
                <w:b/>
                <w:i/>
                <w:szCs w:val="18"/>
              </w:rPr>
            </w:pPr>
            <w:r w:rsidRPr="008307AE">
              <w:rPr>
                <w:rFonts w:cs="Times New Roman"/>
                <w:b/>
                <w:i/>
                <w:szCs w:val="18"/>
              </w:rPr>
              <w:t xml:space="preserve">Selection </w:t>
            </w:r>
            <w:r>
              <w:rPr>
                <w:rFonts w:cs="Times New Roman"/>
                <w:b/>
                <w:i/>
                <w:szCs w:val="18"/>
              </w:rPr>
              <w:t>Policy</w:t>
            </w:r>
          </w:p>
          <w:p w:rsidR="00AF1314" w:rsidRDefault="00AF1314" w:rsidP="000953F8">
            <w:pPr>
              <w:rPr>
                <w:rFonts w:cs="Times New Roman"/>
                <w:i/>
                <w:szCs w:val="18"/>
              </w:rPr>
            </w:pPr>
            <w:r>
              <w:rPr>
                <w:rFonts w:cs="Times New Roman"/>
                <w:i/>
                <w:szCs w:val="18"/>
              </w:rPr>
              <w:t>LEA</w:t>
            </w:r>
            <w:r w:rsidRPr="008307AE">
              <w:rPr>
                <w:rFonts w:cs="Times New Roman"/>
                <w:i/>
                <w:szCs w:val="18"/>
              </w:rPr>
              <w:t xml:space="preserve"> has a board-approved selection policy.</w:t>
            </w:r>
            <w:r>
              <w:rPr>
                <w:rFonts w:cs="Times New Roman"/>
                <w:i/>
                <w:szCs w:val="18"/>
              </w:rPr>
              <w:t xml:space="preserve"> </w:t>
            </w:r>
            <w:r w:rsidRPr="001013EB">
              <w:rPr>
                <w:rFonts w:cs="Times New Roman"/>
                <w:i/>
                <w:szCs w:val="18"/>
              </w:rPr>
              <w:t>WAC 392-170-0</w:t>
            </w:r>
            <w:r>
              <w:rPr>
                <w:rFonts w:cs="Times New Roman"/>
                <w:i/>
                <w:szCs w:val="18"/>
              </w:rPr>
              <w:t>75.</w:t>
            </w:r>
          </w:p>
          <w:p w:rsidR="00AF1314" w:rsidRDefault="00AF1314" w:rsidP="000953F8">
            <w:pPr>
              <w:rPr>
                <w:rFonts w:cs="Times New Roman"/>
                <w:i/>
                <w:szCs w:val="18"/>
              </w:rPr>
            </w:pPr>
          </w:p>
          <w:p w:rsidR="00AF1314" w:rsidRPr="001013EB" w:rsidRDefault="00AF1314" w:rsidP="000953F8">
            <w:pPr>
              <w:rPr>
                <w:rFonts w:cs="Times New Roman"/>
                <w:b/>
                <w:szCs w:val="18"/>
              </w:rPr>
            </w:pPr>
            <w:r w:rsidRPr="001013EB">
              <w:rPr>
                <w:rFonts w:cs="Times New Roman"/>
                <w:b/>
                <w:szCs w:val="18"/>
              </w:rPr>
              <w:t xml:space="preserve">Parent/Legal Guardian Permission Notices </w:t>
            </w:r>
          </w:p>
          <w:p w:rsidR="00AF1314" w:rsidRPr="001013EB" w:rsidRDefault="00AF1314" w:rsidP="000953F8">
            <w:pPr>
              <w:rPr>
                <w:rFonts w:cs="Times New Roman"/>
                <w:i/>
                <w:szCs w:val="18"/>
              </w:rPr>
            </w:pPr>
          </w:p>
          <w:p w:rsidR="00AF1314" w:rsidRPr="001013EB" w:rsidRDefault="00AF1314" w:rsidP="000953F8">
            <w:pPr>
              <w:rPr>
                <w:rFonts w:cs="Times New Roman"/>
                <w:b/>
                <w:i/>
                <w:szCs w:val="18"/>
              </w:rPr>
            </w:pPr>
            <w:r>
              <w:rPr>
                <w:rFonts w:cs="Times New Roman"/>
                <w:b/>
                <w:i/>
                <w:szCs w:val="18"/>
              </w:rPr>
              <w:t>Permission to Test</w:t>
            </w:r>
          </w:p>
          <w:p w:rsidR="00AF1314" w:rsidRDefault="00AF1314" w:rsidP="000953F8">
            <w:pPr>
              <w:rPr>
                <w:rFonts w:cs="Times New Roman"/>
                <w:i/>
                <w:szCs w:val="18"/>
              </w:rPr>
            </w:pPr>
            <w:r>
              <w:rPr>
                <w:rFonts w:cs="Times New Roman"/>
                <w:i/>
                <w:szCs w:val="18"/>
              </w:rPr>
              <w:t>LEAs gets parental permission to test.</w:t>
            </w:r>
          </w:p>
          <w:p w:rsidR="00AF1314" w:rsidRDefault="00AF1314" w:rsidP="000953F8">
            <w:pPr>
              <w:rPr>
                <w:rFonts w:cs="Times New Roman"/>
                <w:i/>
                <w:szCs w:val="18"/>
              </w:rPr>
            </w:pPr>
          </w:p>
          <w:p w:rsidR="00AF1314" w:rsidRPr="001013EB" w:rsidRDefault="00AF1314" w:rsidP="000953F8">
            <w:pPr>
              <w:rPr>
                <w:rFonts w:cs="Times New Roman"/>
                <w:b/>
                <w:i/>
                <w:szCs w:val="18"/>
              </w:rPr>
            </w:pPr>
            <w:r w:rsidRPr="001013EB">
              <w:rPr>
                <w:rFonts w:cs="Times New Roman"/>
                <w:b/>
                <w:i/>
                <w:szCs w:val="18"/>
              </w:rPr>
              <w:t>P</w:t>
            </w:r>
            <w:r>
              <w:rPr>
                <w:rFonts w:cs="Times New Roman"/>
                <w:b/>
                <w:i/>
                <w:szCs w:val="18"/>
              </w:rPr>
              <w:t>ermission t</w:t>
            </w:r>
            <w:r w:rsidRPr="001013EB">
              <w:rPr>
                <w:rFonts w:cs="Times New Roman"/>
                <w:b/>
                <w:i/>
                <w:szCs w:val="18"/>
              </w:rPr>
              <w:t xml:space="preserve">o </w:t>
            </w:r>
            <w:r>
              <w:rPr>
                <w:rFonts w:cs="Times New Roman"/>
                <w:b/>
                <w:i/>
                <w:szCs w:val="18"/>
              </w:rPr>
              <w:t>Start Services</w:t>
            </w:r>
          </w:p>
          <w:p w:rsidR="00AF1314" w:rsidRPr="001013EB" w:rsidRDefault="00AF1314" w:rsidP="000953F8">
            <w:pPr>
              <w:rPr>
                <w:rFonts w:cs="Times New Roman"/>
                <w:i/>
                <w:szCs w:val="18"/>
              </w:rPr>
            </w:pPr>
            <w:r>
              <w:rPr>
                <w:rFonts w:cs="Times New Roman"/>
                <w:i/>
                <w:szCs w:val="18"/>
              </w:rPr>
              <w:t xml:space="preserve">LEA gets permission to place student in program. </w:t>
            </w:r>
            <w:r w:rsidRPr="001013EB">
              <w:rPr>
                <w:rFonts w:cs="Times New Roman"/>
                <w:i/>
                <w:szCs w:val="18"/>
              </w:rPr>
              <w:t>WAC 392-170-047</w:t>
            </w:r>
            <w:r>
              <w:rPr>
                <w:rFonts w:cs="Times New Roman"/>
                <w:i/>
                <w:szCs w:val="18"/>
              </w:rPr>
              <w:t>.</w:t>
            </w:r>
          </w:p>
        </w:tc>
        <w:tc>
          <w:tcPr>
            <w:tcW w:w="8816" w:type="dxa"/>
            <w:shd w:val="clear" w:color="auto" w:fill="F2F2F2" w:themeFill="background1" w:themeFillShade="F2"/>
          </w:tcPr>
          <w:p w:rsidR="00AF1314" w:rsidRPr="0051493E" w:rsidRDefault="00AF1314" w:rsidP="000953F8">
            <w:pPr>
              <w:pStyle w:val="Calibri"/>
            </w:pPr>
            <w:r>
              <w:lastRenderedPageBreak/>
              <w:t>LEA</w:t>
            </w:r>
            <w:r w:rsidRPr="001013EB">
              <w:t xml:space="preserve"> Level</w:t>
            </w:r>
          </w:p>
          <w:p w:rsidR="00AF1314" w:rsidRDefault="00AF1314" w:rsidP="000953F8">
            <w:pPr>
              <w:pStyle w:val="Calibri"/>
              <w:rPr>
                <w:b w:val="0"/>
              </w:rPr>
            </w:pPr>
            <w:r w:rsidRPr="001013EB">
              <w:rPr>
                <w:rFonts w:ascii="Cambria Math" w:hAnsi="Cambria Math"/>
                <w:b w:val="0"/>
              </w:rPr>
              <w:t>⧠</w:t>
            </w:r>
            <w:r w:rsidRPr="001013EB">
              <w:rPr>
                <w:b w:val="0"/>
              </w:rPr>
              <w:t xml:space="preserve"> </w:t>
            </w:r>
            <w:r>
              <w:rPr>
                <w:b w:val="0"/>
              </w:rPr>
              <w:t>A. Identification procedure. Documentation must include:</w:t>
            </w:r>
          </w:p>
          <w:p w:rsidR="00AF1314" w:rsidRPr="00FF0B60" w:rsidRDefault="00AF1314" w:rsidP="00922500">
            <w:pPr>
              <w:pStyle w:val="Calibri"/>
              <w:numPr>
                <w:ilvl w:val="0"/>
                <w:numId w:val="21"/>
              </w:numPr>
              <w:ind w:left="319" w:hanging="180"/>
              <w:rPr>
                <w:b w:val="0"/>
              </w:rPr>
            </w:pPr>
            <w:r w:rsidRPr="00FF0B60">
              <w:rPr>
                <w:b w:val="0"/>
              </w:rPr>
              <w:t>Referral process</w:t>
            </w:r>
          </w:p>
          <w:p w:rsidR="00AF1314" w:rsidRPr="00FF0B60" w:rsidRDefault="00AF1314" w:rsidP="00922500">
            <w:pPr>
              <w:pStyle w:val="Calibri"/>
              <w:numPr>
                <w:ilvl w:val="0"/>
                <w:numId w:val="21"/>
              </w:numPr>
              <w:ind w:left="319" w:hanging="180"/>
              <w:rPr>
                <w:b w:val="0"/>
              </w:rPr>
            </w:pPr>
            <w:r w:rsidRPr="00FF0B60">
              <w:rPr>
                <w:b w:val="0"/>
              </w:rPr>
              <w:t>Screening process (if in place)</w:t>
            </w:r>
          </w:p>
          <w:p w:rsidR="00AF1314" w:rsidRPr="00FF0B60" w:rsidRDefault="00AF1314" w:rsidP="00922500">
            <w:pPr>
              <w:pStyle w:val="Calibri"/>
              <w:numPr>
                <w:ilvl w:val="0"/>
                <w:numId w:val="21"/>
              </w:numPr>
              <w:ind w:left="319" w:hanging="180"/>
              <w:rPr>
                <w:b w:val="0"/>
              </w:rPr>
            </w:pPr>
            <w:r w:rsidRPr="00FF0B60">
              <w:rPr>
                <w:b w:val="0"/>
              </w:rPr>
              <w:t>Assessment process</w:t>
            </w:r>
          </w:p>
          <w:p w:rsidR="00AF1314" w:rsidRPr="00FF0B60" w:rsidRDefault="00AF1314" w:rsidP="00922500">
            <w:pPr>
              <w:pStyle w:val="Calibri"/>
              <w:numPr>
                <w:ilvl w:val="0"/>
                <w:numId w:val="21"/>
              </w:numPr>
              <w:ind w:left="319" w:hanging="180"/>
              <w:rPr>
                <w:b w:val="0"/>
              </w:rPr>
            </w:pPr>
            <w:r w:rsidRPr="00FF0B60">
              <w:rPr>
                <w:b w:val="0"/>
              </w:rPr>
              <w:t>Selection system</w:t>
            </w:r>
          </w:p>
          <w:p w:rsidR="00AF1314" w:rsidRPr="00FF0B60" w:rsidRDefault="00AF1314" w:rsidP="00922500">
            <w:pPr>
              <w:pStyle w:val="Calibri"/>
              <w:numPr>
                <w:ilvl w:val="0"/>
                <w:numId w:val="21"/>
              </w:numPr>
              <w:ind w:left="319" w:hanging="180"/>
              <w:rPr>
                <w:b w:val="0"/>
              </w:rPr>
            </w:pPr>
            <w:r w:rsidRPr="00FF0B60">
              <w:rPr>
                <w:b w:val="0"/>
              </w:rPr>
              <w:t>Appeal process</w:t>
            </w:r>
          </w:p>
          <w:p w:rsidR="00AF1314" w:rsidRDefault="00AF1314" w:rsidP="000953F8">
            <w:pPr>
              <w:pStyle w:val="Calibri"/>
              <w:rPr>
                <w:b w:val="0"/>
              </w:rPr>
            </w:pPr>
            <w:r w:rsidRPr="001013EB">
              <w:rPr>
                <w:rFonts w:ascii="Cambria Math" w:hAnsi="Cambria Math"/>
                <w:b w:val="0"/>
              </w:rPr>
              <w:t>⧠</w:t>
            </w:r>
            <w:r w:rsidRPr="001013EB">
              <w:rPr>
                <w:b w:val="0"/>
              </w:rPr>
              <w:t xml:space="preserve"> </w:t>
            </w:r>
            <w:r>
              <w:rPr>
                <w:b w:val="0"/>
              </w:rPr>
              <w:t>B. HCP selection: board policy.</w:t>
            </w:r>
            <w:r>
              <w:rPr>
                <w:b w:val="0"/>
              </w:rPr>
              <w:br/>
            </w:r>
            <w:r w:rsidRPr="001013EB">
              <w:rPr>
                <w:rFonts w:ascii="Cambria Math" w:hAnsi="Cambria Math"/>
                <w:b w:val="0"/>
              </w:rPr>
              <w:t>⧠</w:t>
            </w:r>
            <w:r>
              <w:rPr>
                <w:b w:val="0"/>
              </w:rPr>
              <w:t xml:space="preserve"> C. One completed referral from the elementary or secondary level that includes a parent/guardian signature indicating consent to test </w:t>
            </w:r>
            <w:r>
              <w:rPr>
                <w:b w:val="0"/>
                <w:i/>
              </w:rPr>
              <w:t>and</w:t>
            </w:r>
            <w:r>
              <w:rPr>
                <w:b w:val="0"/>
              </w:rPr>
              <w:t xml:space="preserve"> to participate in the program. </w:t>
            </w:r>
          </w:p>
          <w:p w:rsidR="00AF1314" w:rsidRPr="00C44D8B" w:rsidRDefault="00AF1314" w:rsidP="000953F8">
            <w:pPr>
              <w:pStyle w:val="Calibri"/>
              <w:rPr>
                <w:b w:val="0"/>
              </w:rPr>
            </w:pPr>
            <w:r>
              <w:rPr>
                <w:b w:val="0"/>
              </w:rPr>
              <w:br/>
            </w:r>
            <w:r>
              <w:rPr>
                <w:b w:val="0"/>
              </w:rPr>
              <w:br/>
            </w:r>
          </w:p>
          <w:p w:rsidR="00AF1314" w:rsidRDefault="00AF1314" w:rsidP="000953F8">
            <w:pPr>
              <w:pStyle w:val="Calibri"/>
              <w:rPr>
                <w:b w:val="0"/>
              </w:rPr>
            </w:pPr>
          </w:p>
          <w:p w:rsidR="00AF1314" w:rsidRPr="001013EB" w:rsidRDefault="00AF1314" w:rsidP="000953F8">
            <w:pPr>
              <w:pStyle w:val="Calibri"/>
              <w:rPr>
                <w:b w:val="0"/>
              </w:rPr>
            </w:pPr>
          </w:p>
          <w:p w:rsidR="00AF1314" w:rsidRPr="001013EB" w:rsidRDefault="00AF1314" w:rsidP="000953F8">
            <w:pPr>
              <w:pStyle w:val="Calibri"/>
              <w:rPr>
                <w:b w:val="0"/>
              </w:rPr>
            </w:pPr>
          </w:p>
          <w:p w:rsidR="00AF1314" w:rsidRPr="001013EB" w:rsidRDefault="00AF1314" w:rsidP="000953F8">
            <w:pPr>
              <w:pStyle w:val="Calibri"/>
              <w:rPr>
                <w:b w:val="0"/>
              </w:rPr>
            </w:pPr>
          </w:p>
        </w:tc>
        <w:tc>
          <w:tcPr>
            <w:tcW w:w="2250" w:type="dxa"/>
            <w:shd w:val="clear" w:color="auto" w:fill="F2F2F2" w:themeFill="background1" w:themeFillShade="F2"/>
          </w:tcPr>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rsidR="00AF1314" w:rsidRDefault="00AF1314" w:rsidP="000953F8">
            <w:pPr>
              <w:pStyle w:val="Calibri"/>
            </w:pPr>
            <w:r w:rsidRPr="000953F8">
              <w:rPr>
                <w:rFonts w:ascii="Cambria Math" w:hAnsi="Cambria Math"/>
                <w:b w:val="0"/>
              </w:rPr>
              <w:t>⧠</w:t>
            </w:r>
            <w:r w:rsidRPr="000953F8">
              <w:rPr>
                <w:b w:val="0"/>
              </w:rPr>
              <w:t xml:space="preserve"> N/A</w:t>
            </w:r>
          </w:p>
        </w:tc>
      </w:tr>
      <w:tr w:rsidR="00AF1314" w:rsidRPr="001013EB" w:rsidTr="00AF1314">
        <w:tc>
          <w:tcPr>
            <w:tcW w:w="634" w:type="dxa"/>
            <w:shd w:val="clear" w:color="auto" w:fill="auto"/>
          </w:tcPr>
          <w:p w:rsidR="00AF1314" w:rsidRPr="001013EB" w:rsidRDefault="00AF1314" w:rsidP="000953F8">
            <w:pPr>
              <w:rPr>
                <w:rFonts w:cs="Times New Roman"/>
                <w:szCs w:val="18"/>
              </w:rPr>
            </w:pPr>
            <w:r>
              <w:rPr>
                <w:rFonts w:cs="Times New Roman"/>
                <w:szCs w:val="18"/>
              </w:rPr>
              <w:t>11.3</w:t>
            </w:r>
          </w:p>
        </w:tc>
        <w:tc>
          <w:tcPr>
            <w:tcW w:w="2880" w:type="dxa"/>
            <w:shd w:val="clear" w:color="auto" w:fill="auto"/>
          </w:tcPr>
          <w:p w:rsidR="00AF1314" w:rsidRPr="001013EB" w:rsidRDefault="00AF1314" w:rsidP="007A3FDD">
            <w:pPr>
              <w:rPr>
                <w:rFonts w:cs="Times New Roman"/>
                <w:b/>
                <w:szCs w:val="18"/>
              </w:rPr>
            </w:pPr>
            <w:r>
              <w:rPr>
                <w:rFonts w:cs="Times New Roman"/>
                <w:b/>
                <w:szCs w:val="18"/>
              </w:rPr>
              <w:t>Equitable Identification of Low-Income Students</w:t>
            </w:r>
            <w:r>
              <w:rPr>
                <w:rFonts w:cs="Times New Roman"/>
                <w:b/>
                <w:szCs w:val="18"/>
              </w:rPr>
              <w:br/>
            </w:r>
            <w:r w:rsidRPr="007A3FDD">
              <w:rPr>
                <w:rFonts w:cs="Times New Roman"/>
                <w:i/>
                <w:szCs w:val="18"/>
              </w:rPr>
              <w:t>LEA practices for identifying the most highly capable students must prioritize equitable identification of low-income students. RCW 28A.185.020</w:t>
            </w:r>
          </w:p>
        </w:tc>
        <w:tc>
          <w:tcPr>
            <w:tcW w:w="8816" w:type="dxa"/>
            <w:shd w:val="clear" w:color="auto" w:fill="auto"/>
          </w:tcPr>
          <w:p w:rsidR="00AF1314" w:rsidRDefault="00AF1314" w:rsidP="009B461D">
            <w:pPr>
              <w:pStyle w:val="Calibri"/>
            </w:pPr>
            <w:r>
              <w:t>LEA Level</w:t>
            </w:r>
          </w:p>
          <w:p w:rsidR="00AF1314" w:rsidRPr="00922500" w:rsidRDefault="00AF1314" w:rsidP="009B461D">
            <w:pPr>
              <w:pStyle w:val="Calibri"/>
              <w:rPr>
                <w:b w:val="0"/>
                <w:i/>
              </w:rPr>
            </w:pPr>
            <w:r w:rsidRPr="00922500">
              <w:rPr>
                <w:b w:val="0"/>
                <w:i/>
              </w:rPr>
              <w:t xml:space="preserve">Upload the following evidence demonstrating LEA efforts to implement new requirement for equitable identification of low-income students. </w:t>
            </w:r>
          </w:p>
          <w:p w:rsidR="00AF1314" w:rsidRDefault="00AF1314" w:rsidP="009B461D">
            <w:pPr>
              <w:pStyle w:val="Calibri"/>
              <w:rPr>
                <w:rFonts w:cs="Times New Roman"/>
                <w:b w:val="0"/>
              </w:rPr>
            </w:pPr>
            <w:r>
              <w:rPr>
                <w:rFonts w:ascii="Cambria Math" w:hAnsi="Cambria Math"/>
                <w:b w:val="0"/>
              </w:rPr>
              <w:br/>
            </w:r>
            <w:r w:rsidRPr="001013EB">
              <w:rPr>
                <w:rFonts w:ascii="Cambria Math" w:hAnsi="Cambria Math"/>
                <w:b w:val="0"/>
              </w:rPr>
              <w:t>⧠</w:t>
            </w:r>
            <w:r>
              <w:rPr>
                <w:b w:val="0"/>
              </w:rPr>
              <w:t xml:space="preserve"> A. Identify p</w:t>
            </w:r>
            <w:r>
              <w:rPr>
                <w:rFonts w:cs="Times New Roman"/>
                <w:b w:val="0"/>
              </w:rPr>
              <w:t xml:space="preserve">erson(s) responsible for developing and implementing LEA identification plan to address low-income students. </w:t>
            </w:r>
          </w:p>
          <w:p w:rsidR="00AF1314" w:rsidRDefault="00AF1314" w:rsidP="009B461D">
            <w:pPr>
              <w:pStyle w:val="Calibri"/>
              <w:rPr>
                <w:b w:val="0"/>
              </w:rPr>
            </w:pPr>
            <w:r w:rsidRPr="002C6461">
              <w:rPr>
                <w:rFonts w:ascii="Cambria Math" w:hAnsi="Cambria Math"/>
                <w:b w:val="0"/>
              </w:rPr>
              <w:t>⧠</w:t>
            </w:r>
            <w:r w:rsidRPr="002C6461">
              <w:rPr>
                <w:b w:val="0"/>
              </w:rPr>
              <w:t xml:space="preserve"> B. Based on LEA’s 2017-18 HCP Annual Plan (</w:t>
            </w:r>
            <w:proofErr w:type="spellStart"/>
            <w:r w:rsidRPr="002C6461">
              <w:rPr>
                <w:b w:val="0"/>
              </w:rPr>
              <w:t>iGrant</w:t>
            </w:r>
            <w:proofErr w:type="spellEnd"/>
            <w:r w:rsidRPr="002C6461">
              <w:rPr>
                <w:b w:val="0"/>
              </w:rPr>
              <w:t xml:space="preserve"> 217)</w:t>
            </w:r>
            <w:proofErr w:type="gramStart"/>
            <w:r w:rsidRPr="002C6461">
              <w:rPr>
                <w:b w:val="0"/>
              </w:rPr>
              <w:t>,</w:t>
            </w:r>
            <w:proofErr w:type="gramEnd"/>
            <w:r w:rsidRPr="002C6461">
              <w:rPr>
                <w:b w:val="0"/>
              </w:rPr>
              <w:t xml:space="preserve"> describe actions</w:t>
            </w:r>
            <w:r>
              <w:rPr>
                <w:b w:val="0"/>
              </w:rPr>
              <w:t xml:space="preserve"> taken-to-</w:t>
            </w:r>
            <w:r w:rsidRPr="002C6461">
              <w:rPr>
                <w:b w:val="0"/>
              </w:rPr>
              <w:t xml:space="preserve">date to reduce barriers to identifying low-income students.   </w:t>
            </w:r>
          </w:p>
          <w:p w:rsidR="00AF1314" w:rsidRPr="009B461D" w:rsidRDefault="00AF1314" w:rsidP="007A3FDD">
            <w:pPr>
              <w:pStyle w:val="Calibri"/>
              <w:rPr>
                <w:rFonts w:cs="Times New Roman"/>
                <w:b w:val="0"/>
              </w:rPr>
            </w:pPr>
            <w:r w:rsidRPr="002C6461">
              <w:rPr>
                <w:rFonts w:ascii="Cambria Math" w:hAnsi="Cambria Math"/>
                <w:b w:val="0"/>
              </w:rPr>
              <w:t>⧠</w:t>
            </w:r>
            <w:r w:rsidRPr="002C6461">
              <w:rPr>
                <w:b w:val="0"/>
              </w:rPr>
              <w:t xml:space="preserve"> </w:t>
            </w:r>
            <w:r>
              <w:rPr>
                <w:b w:val="0"/>
              </w:rPr>
              <w:t>C</w:t>
            </w:r>
            <w:r w:rsidRPr="002C6461">
              <w:rPr>
                <w:b w:val="0"/>
              </w:rPr>
              <w:t>.</w:t>
            </w:r>
            <w:r>
              <w:rPr>
                <w:b w:val="0"/>
              </w:rPr>
              <w:t xml:space="preserve"> Identify changes implemented in HCP identification practices in spring of 2018 for services in the 2018-19 school year. </w:t>
            </w:r>
          </w:p>
        </w:tc>
        <w:tc>
          <w:tcPr>
            <w:tcW w:w="2250" w:type="dxa"/>
          </w:tcPr>
          <w:p w:rsidR="00AF1314" w:rsidRPr="00A4040E" w:rsidRDefault="00AF1314" w:rsidP="009B461D">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rsidR="00AF1314" w:rsidRPr="00A4040E" w:rsidRDefault="00AF1314" w:rsidP="009B461D">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rsidR="00AF1314" w:rsidRPr="00A4040E" w:rsidRDefault="00AF1314" w:rsidP="009B461D">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rsidR="00AF1314" w:rsidRPr="00A4040E" w:rsidRDefault="00AF1314" w:rsidP="009B461D">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rsidR="00AF1314" w:rsidRPr="00A4040E" w:rsidRDefault="00AF1314" w:rsidP="009B461D">
            <w:pPr>
              <w:rPr>
                <w:rFonts w:ascii="Cambria Math" w:hAnsi="Cambria Math" w:cs="Cambria Math"/>
                <w:szCs w:val="18"/>
              </w:rPr>
            </w:pPr>
            <w:r w:rsidRPr="000953F8">
              <w:rPr>
                <w:rFonts w:ascii="Cambria Math" w:hAnsi="Cambria Math"/>
              </w:rPr>
              <w:t>⧠</w:t>
            </w:r>
            <w:r w:rsidRPr="000953F8">
              <w:t xml:space="preserve"> N/A</w:t>
            </w:r>
          </w:p>
        </w:tc>
      </w:tr>
      <w:tr w:rsidR="00AF1314" w:rsidRPr="001013EB" w:rsidTr="00AF1314">
        <w:tc>
          <w:tcPr>
            <w:tcW w:w="634" w:type="dxa"/>
            <w:shd w:val="clear" w:color="auto" w:fill="auto"/>
          </w:tcPr>
          <w:p w:rsidR="00AF1314" w:rsidRPr="001013EB" w:rsidRDefault="00AF1314" w:rsidP="000953F8">
            <w:pPr>
              <w:rPr>
                <w:rFonts w:cs="Times New Roman"/>
                <w:szCs w:val="18"/>
              </w:rPr>
            </w:pPr>
            <w:r w:rsidRPr="001013EB">
              <w:rPr>
                <w:rFonts w:cs="Times New Roman"/>
                <w:szCs w:val="18"/>
              </w:rPr>
              <w:t>11.</w:t>
            </w:r>
            <w:r>
              <w:rPr>
                <w:rFonts w:cs="Times New Roman"/>
                <w:szCs w:val="18"/>
              </w:rPr>
              <w:t>4</w:t>
            </w:r>
          </w:p>
        </w:tc>
        <w:tc>
          <w:tcPr>
            <w:tcW w:w="2880" w:type="dxa"/>
            <w:shd w:val="clear" w:color="auto" w:fill="auto"/>
          </w:tcPr>
          <w:p w:rsidR="00AF1314" w:rsidRPr="001013EB" w:rsidRDefault="00AF1314" w:rsidP="000953F8">
            <w:pPr>
              <w:rPr>
                <w:rFonts w:cs="Times New Roman"/>
                <w:b/>
                <w:szCs w:val="18"/>
              </w:rPr>
            </w:pPr>
            <w:r w:rsidRPr="001013EB">
              <w:rPr>
                <w:rFonts w:cs="Times New Roman"/>
                <w:b/>
                <w:szCs w:val="18"/>
              </w:rPr>
              <w:t>Prog</w:t>
            </w:r>
            <w:r>
              <w:rPr>
                <w:rFonts w:cs="Times New Roman"/>
                <w:b/>
                <w:szCs w:val="18"/>
              </w:rPr>
              <w:t>ram Services</w:t>
            </w:r>
          </w:p>
          <w:p w:rsidR="00AF1314" w:rsidRDefault="00AF1314" w:rsidP="000953F8">
            <w:pPr>
              <w:rPr>
                <w:rFonts w:cs="Times New Roman"/>
                <w:i/>
                <w:szCs w:val="18"/>
              </w:rPr>
            </w:pPr>
            <w:r>
              <w:rPr>
                <w:rFonts w:cs="Times New Roman"/>
                <w:i/>
                <w:szCs w:val="18"/>
              </w:rPr>
              <w:t xml:space="preserve">LEA puts a </w:t>
            </w:r>
            <w:r w:rsidRPr="001013EB">
              <w:rPr>
                <w:rFonts w:cs="Times New Roman"/>
                <w:i/>
                <w:szCs w:val="18"/>
              </w:rPr>
              <w:t xml:space="preserve">variety </w:t>
            </w:r>
            <w:r>
              <w:rPr>
                <w:rFonts w:cs="Times New Roman"/>
                <w:i/>
                <w:szCs w:val="18"/>
              </w:rPr>
              <w:t xml:space="preserve">and continuum </w:t>
            </w:r>
            <w:r w:rsidRPr="001013EB">
              <w:rPr>
                <w:rFonts w:cs="Times New Roman"/>
                <w:i/>
                <w:szCs w:val="18"/>
              </w:rPr>
              <w:t xml:space="preserve">of </w:t>
            </w:r>
            <w:r>
              <w:rPr>
                <w:rFonts w:cs="Times New Roman"/>
                <w:i/>
                <w:szCs w:val="18"/>
              </w:rPr>
              <w:t>program</w:t>
            </w:r>
            <w:r w:rsidRPr="001013EB">
              <w:rPr>
                <w:rFonts w:cs="Times New Roman"/>
                <w:i/>
                <w:szCs w:val="18"/>
              </w:rPr>
              <w:t xml:space="preserve"> services </w:t>
            </w:r>
            <w:r>
              <w:rPr>
                <w:rFonts w:cs="Times New Roman"/>
                <w:i/>
                <w:szCs w:val="18"/>
              </w:rPr>
              <w:t xml:space="preserve">into practice. </w:t>
            </w:r>
            <w:r w:rsidRPr="001013EB">
              <w:rPr>
                <w:rFonts w:cs="Times New Roman"/>
                <w:i/>
                <w:szCs w:val="18"/>
              </w:rPr>
              <w:t>R</w:t>
            </w:r>
            <w:r>
              <w:rPr>
                <w:rFonts w:cs="Times New Roman"/>
                <w:i/>
                <w:szCs w:val="18"/>
              </w:rPr>
              <w:t>CW 28A.185.030; WAC 392-170-078</w:t>
            </w:r>
            <w:r w:rsidRPr="001013EB">
              <w:rPr>
                <w:rFonts w:cs="Times New Roman"/>
                <w:i/>
                <w:szCs w:val="18"/>
              </w:rPr>
              <w:t>.</w:t>
            </w:r>
          </w:p>
          <w:p w:rsidR="00AF1314" w:rsidRDefault="00AF1314" w:rsidP="000953F8">
            <w:pPr>
              <w:rPr>
                <w:rFonts w:cs="Times New Roman"/>
                <w:b/>
                <w:szCs w:val="18"/>
              </w:rPr>
            </w:pPr>
          </w:p>
          <w:p w:rsidR="00AF1314" w:rsidRPr="006424F8" w:rsidRDefault="00AF1314" w:rsidP="000953F8">
            <w:pPr>
              <w:rPr>
                <w:rFonts w:cs="Times New Roman"/>
                <w:b/>
                <w:i/>
                <w:szCs w:val="18"/>
              </w:rPr>
            </w:pPr>
            <w:r w:rsidRPr="006424F8">
              <w:rPr>
                <w:rFonts w:cs="Times New Roman"/>
                <w:b/>
                <w:i/>
                <w:szCs w:val="18"/>
              </w:rPr>
              <w:lastRenderedPageBreak/>
              <w:t>Educational Program</w:t>
            </w:r>
          </w:p>
          <w:p w:rsidR="00AF1314" w:rsidRPr="001013EB" w:rsidRDefault="00AF1314" w:rsidP="000953F8">
            <w:pPr>
              <w:rPr>
                <w:rFonts w:cs="Times New Roman"/>
                <w:i/>
                <w:szCs w:val="18"/>
              </w:rPr>
            </w:pPr>
            <w:r>
              <w:rPr>
                <w:rFonts w:cs="Times New Roman"/>
                <w:i/>
                <w:szCs w:val="18"/>
              </w:rPr>
              <w:t>LEA</w:t>
            </w:r>
            <w:r w:rsidRPr="006620FB">
              <w:rPr>
                <w:rFonts w:cs="Times New Roman"/>
                <w:i/>
                <w:szCs w:val="18"/>
              </w:rPr>
              <w:t xml:space="preserve">s </w:t>
            </w:r>
            <w:r>
              <w:rPr>
                <w:rFonts w:cs="Times New Roman"/>
                <w:i/>
                <w:szCs w:val="18"/>
              </w:rPr>
              <w:t xml:space="preserve">maintains a record that describes </w:t>
            </w:r>
            <w:r w:rsidRPr="006620FB">
              <w:rPr>
                <w:rFonts w:cs="Times New Roman"/>
                <w:i/>
                <w:szCs w:val="18"/>
              </w:rPr>
              <w:t xml:space="preserve">the educational program provided for </w:t>
            </w:r>
            <w:r>
              <w:rPr>
                <w:rFonts w:cs="Times New Roman"/>
                <w:i/>
                <w:szCs w:val="18"/>
              </w:rPr>
              <w:t>each student in the HCP. RCW 28A.185.030; WAC 392-170-</w:t>
            </w:r>
            <w:r w:rsidRPr="001013EB">
              <w:rPr>
                <w:rFonts w:cs="Times New Roman"/>
                <w:i/>
                <w:szCs w:val="18"/>
              </w:rPr>
              <w:t>080.</w:t>
            </w:r>
          </w:p>
        </w:tc>
        <w:tc>
          <w:tcPr>
            <w:tcW w:w="8816" w:type="dxa"/>
            <w:shd w:val="clear" w:color="auto" w:fill="auto"/>
          </w:tcPr>
          <w:p w:rsidR="00AF1314" w:rsidRDefault="00AF1314" w:rsidP="000953F8">
            <w:pPr>
              <w:pStyle w:val="Calibri"/>
            </w:pPr>
            <w:r>
              <w:lastRenderedPageBreak/>
              <w:t>LEA Level</w:t>
            </w:r>
          </w:p>
          <w:p w:rsidR="00AF1314" w:rsidRDefault="00AF1314" w:rsidP="000953F8">
            <w:pPr>
              <w:pStyle w:val="Calibri"/>
              <w:rPr>
                <w:b w:val="0"/>
              </w:rPr>
            </w:pPr>
            <w:r w:rsidRPr="001013EB">
              <w:rPr>
                <w:rFonts w:ascii="Cambria Math" w:hAnsi="Cambria Math"/>
                <w:b w:val="0"/>
              </w:rPr>
              <w:t>⧠</w:t>
            </w:r>
            <w:r>
              <w:rPr>
                <w:b w:val="0"/>
              </w:rPr>
              <w:t xml:space="preserve"> A. Describe the variety and continuum of HCP services.</w:t>
            </w:r>
          </w:p>
          <w:p w:rsidR="00AF1314" w:rsidRDefault="00AF1314" w:rsidP="000953F8">
            <w:pPr>
              <w:pStyle w:val="Calibri"/>
              <w:rPr>
                <w:b w:val="0"/>
              </w:rPr>
            </w:pPr>
            <w:r w:rsidRPr="001013EB">
              <w:rPr>
                <w:rFonts w:ascii="Cambria Math" w:hAnsi="Cambria Math"/>
                <w:b w:val="0"/>
              </w:rPr>
              <w:t>⧠</w:t>
            </w:r>
            <w:r w:rsidRPr="001013EB">
              <w:rPr>
                <w:b w:val="0"/>
              </w:rPr>
              <w:t xml:space="preserve"> </w:t>
            </w:r>
            <w:r>
              <w:rPr>
                <w:b w:val="0"/>
              </w:rPr>
              <w:t>B. Program record for one student that shows services over time.</w:t>
            </w:r>
          </w:p>
          <w:p w:rsidR="00AF1314" w:rsidRPr="001013EB" w:rsidRDefault="00AF1314" w:rsidP="000953F8">
            <w:pPr>
              <w:pStyle w:val="Calibri"/>
              <w:rPr>
                <w:b w:val="0"/>
              </w:rPr>
            </w:pPr>
          </w:p>
        </w:tc>
        <w:tc>
          <w:tcPr>
            <w:tcW w:w="2250" w:type="dxa"/>
          </w:tcPr>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rsidR="00AF1314" w:rsidRDefault="00AF1314" w:rsidP="000953F8">
            <w:pPr>
              <w:pStyle w:val="Calibri"/>
            </w:pPr>
            <w:r w:rsidRPr="000953F8">
              <w:rPr>
                <w:rFonts w:ascii="Cambria Math" w:hAnsi="Cambria Math"/>
                <w:b w:val="0"/>
              </w:rPr>
              <w:t>⧠</w:t>
            </w:r>
            <w:r w:rsidRPr="000953F8">
              <w:rPr>
                <w:b w:val="0"/>
              </w:rPr>
              <w:t xml:space="preserve"> N/A</w:t>
            </w:r>
          </w:p>
        </w:tc>
      </w:tr>
      <w:tr w:rsidR="00AF1314" w:rsidRPr="001013EB" w:rsidTr="00AF1314">
        <w:tc>
          <w:tcPr>
            <w:tcW w:w="634" w:type="dxa"/>
            <w:shd w:val="clear" w:color="auto" w:fill="F2F2F2" w:themeFill="background1" w:themeFillShade="F2"/>
          </w:tcPr>
          <w:p w:rsidR="00AF1314" w:rsidRPr="001013EB" w:rsidRDefault="00AF1314" w:rsidP="000953F8">
            <w:pPr>
              <w:rPr>
                <w:rFonts w:cs="Times New Roman"/>
                <w:szCs w:val="18"/>
              </w:rPr>
            </w:pPr>
            <w:r w:rsidRPr="001013EB">
              <w:rPr>
                <w:rFonts w:cs="Times New Roman"/>
                <w:szCs w:val="18"/>
              </w:rPr>
              <w:t>11.</w:t>
            </w:r>
            <w:r>
              <w:rPr>
                <w:rFonts w:cs="Times New Roman"/>
                <w:szCs w:val="18"/>
              </w:rPr>
              <w:t>5</w:t>
            </w:r>
          </w:p>
        </w:tc>
        <w:tc>
          <w:tcPr>
            <w:tcW w:w="2880" w:type="dxa"/>
            <w:shd w:val="clear" w:color="auto" w:fill="F2F2F2" w:themeFill="background1" w:themeFillShade="F2"/>
          </w:tcPr>
          <w:p w:rsidR="00AF1314" w:rsidRDefault="00AF1314" w:rsidP="000953F8">
            <w:pPr>
              <w:rPr>
                <w:rFonts w:cs="Times New Roman"/>
                <w:i/>
                <w:szCs w:val="18"/>
              </w:rPr>
            </w:pPr>
            <w:r w:rsidRPr="001013EB">
              <w:rPr>
                <w:rFonts w:cs="Times New Roman"/>
                <w:b/>
                <w:szCs w:val="18"/>
              </w:rPr>
              <w:t>Program Evaluation</w:t>
            </w:r>
            <w:r w:rsidRPr="001013EB">
              <w:rPr>
                <w:rFonts w:cs="Times New Roman"/>
                <w:i/>
                <w:szCs w:val="18"/>
              </w:rPr>
              <w:t xml:space="preserve">  </w:t>
            </w:r>
          </w:p>
          <w:p w:rsidR="00AF1314" w:rsidRDefault="00AF1314" w:rsidP="000953F8">
            <w:pPr>
              <w:rPr>
                <w:rFonts w:cs="Times New Roman"/>
                <w:i/>
                <w:szCs w:val="18"/>
              </w:rPr>
            </w:pPr>
          </w:p>
          <w:p w:rsidR="00AF1314" w:rsidRPr="00D34D1E" w:rsidRDefault="00AF1314" w:rsidP="000953F8">
            <w:pPr>
              <w:rPr>
                <w:rFonts w:cs="Times New Roman"/>
                <w:b/>
                <w:i/>
                <w:szCs w:val="18"/>
              </w:rPr>
            </w:pPr>
            <w:r>
              <w:rPr>
                <w:rFonts w:cs="Times New Roman"/>
                <w:b/>
                <w:i/>
                <w:szCs w:val="18"/>
              </w:rPr>
              <w:t>Identification</w:t>
            </w:r>
            <w:r w:rsidRPr="001013EB">
              <w:rPr>
                <w:rFonts w:cs="Times New Roman"/>
                <w:i/>
                <w:szCs w:val="18"/>
              </w:rPr>
              <w:t xml:space="preserve"> </w:t>
            </w:r>
            <w:r w:rsidRPr="00D34D1E">
              <w:rPr>
                <w:rFonts w:cs="Times New Roman"/>
                <w:b/>
                <w:i/>
                <w:szCs w:val="18"/>
              </w:rPr>
              <w:t>Process</w:t>
            </w:r>
          </w:p>
          <w:p w:rsidR="00AF1314" w:rsidRDefault="00AF1314" w:rsidP="000953F8">
            <w:pPr>
              <w:rPr>
                <w:rFonts w:cs="Times New Roman"/>
                <w:i/>
                <w:szCs w:val="18"/>
              </w:rPr>
            </w:pPr>
            <w:r>
              <w:rPr>
                <w:rFonts w:cs="Times New Roman"/>
                <w:i/>
                <w:szCs w:val="18"/>
              </w:rPr>
              <w:t>LEA</w:t>
            </w:r>
            <w:r w:rsidRPr="00D34D1E">
              <w:rPr>
                <w:rFonts w:cs="Times New Roman"/>
                <w:i/>
                <w:szCs w:val="18"/>
              </w:rPr>
              <w:t xml:space="preserve"> regularly evaluates the effectiveness of the identification process. RCW 28A.185; WAC 392-170-030, 087.</w:t>
            </w:r>
          </w:p>
          <w:p w:rsidR="00AF1314" w:rsidRPr="001013EB" w:rsidRDefault="00AF1314" w:rsidP="000953F8">
            <w:pPr>
              <w:rPr>
                <w:rFonts w:cs="Times New Roman"/>
                <w:i/>
                <w:szCs w:val="18"/>
              </w:rPr>
            </w:pPr>
          </w:p>
          <w:p w:rsidR="00AF1314" w:rsidRPr="001013EB" w:rsidRDefault="00AF1314" w:rsidP="000953F8">
            <w:pPr>
              <w:rPr>
                <w:rFonts w:cs="Times New Roman"/>
                <w:b/>
                <w:i/>
                <w:szCs w:val="18"/>
              </w:rPr>
            </w:pPr>
            <w:r>
              <w:rPr>
                <w:rFonts w:cs="Times New Roman"/>
                <w:b/>
                <w:i/>
                <w:szCs w:val="18"/>
              </w:rPr>
              <w:t>Meet Academic Needs</w:t>
            </w:r>
          </w:p>
          <w:p w:rsidR="00AF1314" w:rsidRPr="00D34D1E" w:rsidRDefault="00AF1314" w:rsidP="000953F8">
            <w:pPr>
              <w:rPr>
                <w:i/>
              </w:rPr>
            </w:pPr>
            <w:r>
              <w:rPr>
                <w:rFonts w:cs="Times New Roman"/>
                <w:i/>
                <w:szCs w:val="18"/>
              </w:rPr>
              <w:t>LEA</w:t>
            </w:r>
            <w:r w:rsidRPr="00D34D1E">
              <w:rPr>
                <w:rFonts w:cs="Times New Roman"/>
                <w:i/>
                <w:szCs w:val="18"/>
              </w:rPr>
              <w:t xml:space="preserve"> evaluates the HCP to determine how well the program </w:t>
            </w:r>
            <w:r w:rsidRPr="00D34D1E">
              <w:rPr>
                <w:i/>
              </w:rPr>
              <w:t>addressed the needs and capabilities of highly capable students</w:t>
            </w:r>
            <w:r>
              <w:rPr>
                <w:i/>
              </w:rPr>
              <w:t xml:space="preserve">. </w:t>
            </w:r>
            <w:r w:rsidRPr="001013EB">
              <w:rPr>
                <w:rFonts w:cs="Times New Roman"/>
                <w:i/>
                <w:szCs w:val="18"/>
              </w:rPr>
              <w:t>RCW 28A.185; WAC 392-170-030, 087.</w:t>
            </w:r>
          </w:p>
          <w:p w:rsidR="00AF1314" w:rsidRPr="001013EB" w:rsidRDefault="00AF1314" w:rsidP="000953F8">
            <w:pPr>
              <w:rPr>
                <w:rFonts w:cs="Times New Roman"/>
                <w:i/>
                <w:szCs w:val="18"/>
              </w:rPr>
            </w:pPr>
          </w:p>
          <w:p w:rsidR="00AF1314" w:rsidRPr="001013EB" w:rsidRDefault="00AF1314" w:rsidP="000953F8">
            <w:pPr>
              <w:rPr>
                <w:rFonts w:cs="Times New Roman"/>
                <w:b/>
                <w:i/>
                <w:szCs w:val="18"/>
              </w:rPr>
            </w:pPr>
            <w:r>
              <w:rPr>
                <w:rFonts w:cs="Times New Roman"/>
                <w:b/>
                <w:i/>
                <w:szCs w:val="18"/>
              </w:rPr>
              <w:t>Academic</w:t>
            </w:r>
            <w:r w:rsidRPr="001013EB">
              <w:rPr>
                <w:rFonts w:cs="Times New Roman"/>
                <w:b/>
                <w:i/>
                <w:szCs w:val="18"/>
              </w:rPr>
              <w:t xml:space="preserve"> Achievement</w:t>
            </w:r>
          </w:p>
          <w:p w:rsidR="00AF1314" w:rsidRDefault="00AF1314" w:rsidP="000953F8">
            <w:pPr>
              <w:rPr>
                <w:rFonts w:cs="Times New Roman"/>
                <w:i/>
                <w:szCs w:val="18"/>
              </w:rPr>
            </w:pPr>
            <w:r>
              <w:rPr>
                <w:rFonts w:cs="Times New Roman"/>
                <w:i/>
                <w:szCs w:val="18"/>
              </w:rPr>
              <w:t xml:space="preserve">LEA measures and evaluates the academic achievement of its </w:t>
            </w:r>
            <w:r w:rsidRPr="001013EB">
              <w:rPr>
                <w:rFonts w:cs="Times New Roman"/>
                <w:i/>
                <w:szCs w:val="18"/>
              </w:rPr>
              <w:t>HCP student</w:t>
            </w:r>
            <w:r>
              <w:rPr>
                <w:rFonts w:cs="Times New Roman"/>
                <w:i/>
                <w:szCs w:val="18"/>
              </w:rPr>
              <w:t>s.</w:t>
            </w:r>
          </w:p>
          <w:p w:rsidR="00AF1314" w:rsidRPr="00922500" w:rsidRDefault="00AF1314" w:rsidP="000953F8">
            <w:pPr>
              <w:rPr>
                <w:rFonts w:cs="Times New Roman"/>
                <w:i/>
                <w:szCs w:val="18"/>
              </w:rPr>
            </w:pPr>
            <w:r>
              <w:rPr>
                <w:rFonts w:cs="Times New Roman"/>
                <w:i/>
                <w:szCs w:val="18"/>
              </w:rPr>
              <w:t>R</w:t>
            </w:r>
            <w:r w:rsidRPr="001013EB">
              <w:rPr>
                <w:rFonts w:cs="Times New Roman"/>
                <w:i/>
                <w:szCs w:val="18"/>
              </w:rPr>
              <w:t>CW 28A.185; WAC 392-170-030</w:t>
            </w:r>
            <w:r>
              <w:rPr>
                <w:rFonts w:cs="Times New Roman"/>
                <w:i/>
                <w:szCs w:val="18"/>
              </w:rPr>
              <w:t>.</w:t>
            </w:r>
          </w:p>
        </w:tc>
        <w:tc>
          <w:tcPr>
            <w:tcW w:w="8816" w:type="dxa"/>
            <w:shd w:val="clear" w:color="auto" w:fill="F2F2F2" w:themeFill="background1" w:themeFillShade="F2"/>
          </w:tcPr>
          <w:p w:rsidR="00AF1314" w:rsidRPr="0051493E" w:rsidRDefault="00AF1314" w:rsidP="0051493E">
            <w:pPr>
              <w:pStyle w:val="Calibri"/>
              <w:rPr>
                <w:b w:val="0"/>
              </w:rPr>
            </w:pPr>
            <w:r>
              <w:t>LEA Level</w:t>
            </w:r>
          </w:p>
          <w:p w:rsidR="00AF1314" w:rsidRDefault="00AF1314" w:rsidP="000953F8">
            <w:r w:rsidRPr="001013EB">
              <w:rPr>
                <w:rFonts w:ascii="Cambria Math" w:hAnsi="Cambria Math"/>
              </w:rPr>
              <w:t>⧠</w:t>
            </w:r>
            <w:r w:rsidRPr="001013EB">
              <w:t xml:space="preserve"> </w:t>
            </w:r>
            <w:r>
              <w:t>A. Copy LEA’s current, annual evaluation. It must include the following elements:</w:t>
            </w:r>
          </w:p>
          <w:p w:rsidR="00AF1314" w:rsidRPr="00F66FD9" w:rsidRDefault="00AF1314" w:rsidP="00922500">
            <w:pPr>
              <w:pStyle w:val="ListParagraph"/>
              <w:numPr>
                <w:ilvl w:val="0"/>
                <w:numId w:val="22"/>
              </w:numPr>
              <w:ind w:left="319" w:hanging="180"/>
            </w:pPr>
            <w:r>
              <w:t>Review of identification procedures.</w:t>
            </w:r>
          </w:p>
          <w:p w:rsidR="00AF1314" w:rsidRDefault="00AF1314" w:rsidP="00922500">
            <w:pPr>
              <w:pStyle w:val="ListParagraph"/>
              <w:numPr>
                <w:ilvl w:val="0"/>
                <w:numId w:val="22"/>
              </w:numPr>
              <w:ind w:left="319" w:hanging="180"/>
            </w:pPr>
            <w:r>
              <w:t>Review of data for effectiveness of program services to meet academic needs of HCP students.</w:t>
            </w:r>
          </w:p>
          <w:p w:rsidR="00AF1314" w:rsidRDefault="00AF1314" w:rsidP="00922500">
            <w:pPr>
              <w:pStyle w:val="ListParagraph"/>
              <w:numPr>
                <w:ilvl w:val="0"/>
                <w:numId w:val="22"/>
              </w:numPr>
              <w:ind w:left="319" w:hanging="180"/>
            </w:pPr>
            <w:r>
              <w:t xml:space="preserve">Review of practices that impact student achievement. </w:t>
            </w:r>
          </w:p>
          <w:p w:rsidR="00AF1314" w:rsidRPr="00F66FD9" w:rsidRDefault="00AF1314" w:rsidP="00922500">
            <w:pPr>
              <w:pStyle w:val="ListParagraph"/>
              <w:numPr>
                <w:ilvl w:val="0"/>
                <w:numId w:val="22"/>
              </w:numPr>
              <w:ind w:left="319" w:hanging="180"/>
            </w:pPr>
            <w:r>
              <w:t>Proposed practice changes as outcome of evaluation.</w:t>
            </w:r>
          </w:p>
          <w:p w:rsidR="00AF1314" w:rsidRDefault="00AF1314" w:rsidP="000953F8"/>
          <w:p w:rsidR="00AF1314" w:rsidRPr="006620FB" w:rsidRDefault="00AF1314" w:rsidP="000953F8">
            <w:pPr>
              <w:pStyle w:val="Calibri"/>
              <w:rPr>
                <w:strike/>
              </w:rPr>
            </w:pPr>
            <w:r w:rsidRPr="006620FB">
              <w:rPr>
                <w:b w:val="0"/>
                <w:strike/>
              </w:rPr>
              <w:t xml:space="preserve"> </w:t>
            </w:r>
          </w:p>
          <w:p w:rsidR="00AF1314" w:rsidRPr="001013EB" w:rsidRDefault="00AF1314" w:rsidP="000953F8">
            <w:pPr>
              <w:rPr>
                <w:b/>
                <w:strike/>
              </w:rPr>
            </w:pPr>
          </w:p>
        </w:tc>
        <w:tc>
          <w:tcPr>
            <w:tcW w:w="2250" w:type="dxa"/>
            <w:shd w:val="clear" w:color="auto" w:fill="F2F2F2" w:themeFill="background1" w:themeFillShade="F2"/>
          </w:tcPr>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Compliant</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Action Plan Approved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Evidence Needed</w:t>
            </w:r>
          </w:p>
          <w:p w:rsidR="00AF1314" w:rsidRPr="00A4040E" w:rsidRDefault="00AF1314" w:rsidP="000953F8">
            <w:pPr>
              <w:rPr>
                <w:rFonts w:cs="Cambria Math"/>
                <w:szCs w:val="18"/>
              </w:rPr>
            </w:pPr>
            <w:r w:rsidRPr="00A4040E">
              <w:rPr>
                <w:rFonts w:ascii="Cambria Math" w:hAnsi="Cambria Math" w:cs="Cambria Math"/>
                <w:szCs w:val="18"/>
              </w:rPr>
              <w:t>⧠</w:t>
            </w:r>
            <w:r w:rsidRPr="00A4040E">
              <w:rPr>
                <w:rFonts w:cs="Cambria Math"/>
                <w:szCs w:val="18"/>
              </w:rPr>
              <w:t xml:space="preserve"> Noncompliant</w:t>
            </w:r>
          </w:p>
          <w:p w:rsidR="00AF1314" w:rsidRDefault="00AF1314" w:rsidP="000953F8">
            <w:pPr>
              <w:pStyle w:val="Calibri"/>
            </w:pPr>
            <w:r w:rsidRPr="000953F8">
              <w:rPr>
                <w:rFonts w:ascii="Cambria Math" w:hAnsi="Cambria Math"/>
                <w:b w:val="0"/>
              </w:rPr>
              <w:t>⧠</w:t>
            </w:r>
            <w:r w:rsidRPr="000953F8">
              <w:rPr>
                <w:b w:val="0"/>
              </w:rPr>
              <w:t xml:space="preserve"> N/A</w:t>
            </w:r>
          </w:p>
        </w:tc>
      </w:tr>
    </w:tbl>
    <w:p w:rsidR="00271C8F" w:rsidRPr="001013EB" w:rsidRDefault="00271C8F">
      <w:pPr>
        <w:rPr>
          <w:rFonts w:cs="Times New Roman"/>
        </w:rPr>
      </w:pPr>
    </w:p>
    <w:sectPr w:rsidR="00271C8F" w:rsidRPr="001013EB" w:rsidSect="007463BD">
      <w:headerReference w:type="default" r:id="rId9"/>
      <w:footerReference w:type="default" r:id="rId10"/>
      <w:pgSz w:w="15840" w:h="12240" w:orient="landscape"/>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DF" w:rsidRDefault="00BC6CDF" w:rsidP="007463BD">
      <w:pPr>
        <w:spacing w:after="0" w:line="240" w:lineRule="auto"/>
      </w:pPr>
      <w:r>
        <w:separator/>
      </w:r>
    </w:p>
  </w:endnote>
  <w:endnote w:type="continuationSeparator" w:id="0">
    <w:p w:rsidR="00BC6CDF" w:rsidRDefault="00BC6CDF"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10743553"/>
      <w:docPartObj>
        <w:docPartGallery w:val="Page Numbers (Bottom of Page)"/>
        <w:docPartUnique/>
      </w:docPartObj>
    </w:sdtPr>
    <w:sdtEndPr/>
    <w:sdtContent>
      <w:sdt>
        <w:sdtPr>
          <w:rPr>
            <w:b/>
            <w:szCs w:val="18"/>
          </w:rPr>
          <w:id w:val="1728636285"/>
          <w:docPartObj>
            <w:docPartGallery w:val="Page Numbers (Top of Page)"/>
            <w:docPartUnique/>
          </w:docPartObj>
        </w:sdtPr>
        <w:sdtEndPr/>
        <w:sdtContent>
          <w:p w:rsidR="008307AE" w:rsidRPr="00F61805" w:rsidRDefault="008307AE" w:rsidP="00F61805">
            <w:pPr>
              <w:pStyle w:val="Footer"/>
              <w:jc w:val="center"/>
              <w:rPr>
                <w:b/>
                <w:szCs w:val="18"/>
              </w:rPr>
            </w:pPr>
            <w:r w:rsidRPr="00F61805">
              <w:rPr>
                <w:b/>
                <w:szCs w:val="18"/>
              </w:rPr>
              <w:t xml:space="preserve">Page </w:t>
            </w:r>
            <w:r w:rsidRPr="00F61805">
              <w:rPr>
                <w:b/>
                <w:bCs/>
                <w:szCs w:val="18"/>
              </w:rPr>
              <w:fldChar w:fldCharType="begin"/>
            </w:r>
            <w:r w:rsidRPr="00F61805">
              <w:rPr>
                <w:b/>
                <w:bCs/>
                <w:szCs w:val="18"/>
              </w:rPr>
              <w:instrText xml:space="preserve"> PAGE </w:instrText>
            </w:r>
            <w:r w:rsidRPr="00F61805">
              <w:rPr>
                <w:b/>
                <w:bCs/>
                <w:szCs w:val="18"/>
              </w:rPr>
              <w:fldChar w:fldCharType="separate"/>
            </w:r>
            <w:r w:rsidR="00AF1314">
              <w:rPr>
                <w:b/>
                <w:bCs/>
                <w:noProof/>
                <w:szCs w:val="18"/>
              </w:rPr>
              <w:t>2</w:t>
            </w:r>
            <w:r w:rsidRPr="00F61805">
              <w:rPr>
                <w:b/>
                <w:bCs/>
                <w:szCs w:val="18"/>
              </w:rPr>
              <w:fldChar w:fldCharType="end"/>
            </w:r>
            <w:r w:rsidRPr="00F61805">
              <w:rPr>
                <w:b/>
                <w:szCs w:val="18"/>
              </w:rPr>
              <w:t xml:space="preserve"> of </w:t>
            </w:r>
            <w:r w:rsidRPr="00F61805">
              <w:rPr>
                <w:b/>
                <w:bCs/>
                <w:szCs w:val="18"/>
              </w:rPr>
              <w:fldChar w:fldCharType="begin"/>
            </w:r>
            <w:r w:rsidRPr="00F61805">
              <w:rPr>
                <w:b/>
                <w:bCs/>
                <w:szCs w:val="18"/>
              </w:rPr>
              <w:instrText xml:space="preserve"> NUMPAGES  </w:instrText>
            </w:r>
            <w:r w:rsidRPr="00F61805">
              <w:rPr>
                <w:b/>
                <w:bCs/>
                <w:szCs w:val="18"/>
              </w:rPr>
              <w:fldChar w:fldCharType="separate"/>
            </w:r>
            <w:r w:rsidR="00AF1314">
              <w:rPr>
                <w:b/>
                <w:bCs/>
                <w:noProof/>
                <w:szCs w:val="18"/>
              </w:rPr>
              <w:t>3</w:t>
            </w:r>
            <w:r w:rsidRPr="00F61805">
              <w:rPr>
                <w:b/>
                <w:bCs/>
                <w:szCs w:val="18"/>
              </w:rPr>
              <w:fldChar w:fldCharType="end"/>
            </w:r>
          </w:p>
        </w:sdtContent>
      </w:sdt>
    </w:sdtContent>
  </w:sdt>
  <w:p w:rsidR="008307AE" w:rsidRDefault="0083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DF" w:rsidRDefault="00BC6CDF" w:rsidP="007463BD">
      <w:pPr>
        <w:spacing w:after="0" w:line="240" w:lineRule="auto"/>
      </w:pPr>
      <w:r>
        <w:separator/>
      </w:r>
    </w:p>
  </w:footnote>
  <w:footnote w:type="continuationSeparator" w:id="0">
    <w:p w:rsidR="00BC6CDF" w:rsidRDefault="00BC6CDF"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AE" w:rsidRPr="00F61805" w:rsidRDefault="008307AE" w:rsidP="00F61805">
    <w:pPr>
      <w:pStyle w:val="Header"/>
      <w:jc w:val="center"/>
      <w:rPr>
        <w:szCs w:val="18"/>
      </w:rPr>
    </w:pPr>
    <w:r>
      <w:rPr>
        <w:szCs w:val="18"/>
      </w:rPr>
      <w:t xml:space="preserve">CPR </w:t>
    </w:r>
    <w:r w:rsidRPr="00F61805">
      <w:rPr>
        <w:szCs w:val="18"/>
      </w:rPr>
      <w:t>20</w:t>
    </w:r>
    <w:r w:rsidR="009B7286">
      <w:rPr>
        <w:szCs w:val="18"/>
      </w:rPr>
      <w:t>17</w:t>
    </w:r>
    <w:r w:rsidR="00FF0B60">
      <w:rPr>
        <w:szCs w:val="18"/>
      </w:rPr>
      <w:t>-1</w:t>
    </w:r>
    <w:r w:rsidR="009B7286">
      <w:rPr>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FF9"/>
    <w:multiLevelType w:val="hybridMultilevel"/>
    <w:tmpl w:val="E510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3E46"/>
    <w:multiLevelType w:val="hybridMultilevel"/>
    <w:tmpl w:val="79622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E1538A7"/>
    <w:multiLevelType w:val="hybridMultilevel"/>
    <w:tmpl w:val="1AA8E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B2DE6"/>
    <w:multiLevelType w:val="hybridMultilevel"/>
    <w:tmpl w:val="04A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6" w15:restartNumberingAfterBreak="0">
    <w:nsid w:val="351C441F"/>
    <w:multiLevelType w:val="hybridMultilevel"/>
    <w:tmpl w:val="263E8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C585C"/>
    <w:multiLevelType w:val="hybridMultilevel"/>
    <w:tmpl w:val="BD9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82F8F"/>
    <w:multiLevelType w:val="hybridMultilevel"/>
    <w:tmpl w:val="74BCF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144FB"/>
    <w:multiLevelType w:val="multilevel"/>
    <w:tmpl w:val="3D42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4D5CB6"/>
    <w:multiLevelType w:val="hybridMultilevel"/>
    <w:tmpl w:val="E2C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D74DD"/>
    <w:multiLevelType w:val="hybridMultilevel"/>
    <w:tmpl w:val="0D68BBB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C785B9C"/>
    <w:multiLevelType w:val="hybridMultilevel"/>
    <w:tmpl w:val="DE90F10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91B1E"/>
    <w:multiLevelType w:val="hybridMultilevel"/>
    <w:tmpl w:val="E94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606"/>
    <w:multiLevelType w:val="hybridMultilevel"/>
    <w:tmpl w:val="8CE4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14860"/>
    <w:multiLevelType w:val="multilevel"/>
    <w:tmpl w:val="031A5AF8"/>
    <w:lvl w:ilvl="0">
      <w:start w:val="4"/>
      <w:numFmt w:val="decimal"/>
      <w:lvlText w:val="%1"/>
      <w:lvlJc w:val="left"/>
      <w:pPr>
        <w:ind w:left="810" w:hanging="344"/>
      </w:pPr>
      <w:rPr>
        <w:rFonts w:hint="default"/>
      </w:rPr>
    </w:lvl>
    <w:lvl w:ilvl="1">
      <w:start w:val="5"/>
      <w:numFmt w:val="decimal"/>
      <w:lvlText w:val="%1.%2"/>
      <w:lvlJc w:val="left"/>
      <w:pPr>
        <w:ind w:left="810" w:hanging="344"/>
      </w:pPr>
      <w:rPr>
        <w:rFonts w:ascii="Verdana" w:eastAsia="Verdana" w:hAnsi="Verdana" w:hint="default"/>
        <w:b/>
        <w:bCs/>
        <w:spacing w:val="-2"/>
        <w:w w:val="102"/>
        <w:sz w:val="19"/>
        <w:szCs w:val="19"/>
      </w:rPr>
    </w:lvl>
    <w:lvl w:ilvl="2">
      <w:start w:val="1"/>
      <w:numFmt w:val="bullet"/>
      <w:lvlText w:val="•"/>
      <w:lvlJc w:val="left"/>
      <w:pPr>
        <w:ind w:left="1479" w:hanging="344"/>
      </w:pPr>
      <w:rPr>
        <w:rFonts w:hint="default"/>
      </w:rPr>
    </w:lvl>
    <w:lvl w:ilvl="3">
      <w:start w:val="1"/>
      <w:numFmt w:val="bullet"/>
      <w:lvlText w:val="•"/>
      <w:lvlJc w:val="left"/>
      <w:pPr>
        <w:ind w:left="1814" w:hanging="344"/>
      </w:pPr>
      <w:rPr>
        <w:rFonts w:hint="default"/>
      </w:rPr>
    </w:lvl>
    <w:lvl w:ilvl="4">
      <w:start w:val="1"/>
      <w:numFmt w:val="bullet"/>
      <w:lvlText w:val="•"/>
      <w:lvlJc w:val="left"/>
      <w:pPr>
        <w:ind w:left="2149" w:hanging="344"/>
      </w:pPr>
      <w:rPr>
        <w:rFonts w:hint="default"/>
      </w:rPr>
    </w:lvl>
    <w:lvl w:ilvl="5">
      <w:start w:val="1"/>
      <w:numFmt w:val="bullet"/>
      <w:lvlText w:val="•"/>
      <w:lvlJc w:val="left"/>
      <w:pPr>
        <w:ind w:left="2484" w:hanging="344"/>
      </w:pPr>
      <w:rPr>
        <w:rFonts w:hint="default"/>
      </w:rPr>
    </w:lvl>
    <w:lvl w:ilvl="6">
      <w:start w:val="1"/>
      <w:numFmt w:val="bullet"/>
      <w:lvlText w:val="•"/>
      <w:lvlJc w:val="left"/>
      <w:pPr>
        <w:ind w:left="2819" w:hanging="344"/>
      </w:pPr>
      <w:rPr>
        <w:rFonts w:hint="default"/>
      </w:rPr>
    </w:lvl>
    <w:lvl w:ilvl="7">
      <w:start w:val="1"/>
      <w:numFmt w:val="bullet"/>
      <w:lvlText w:val="•"/>
      <w:lvlJc w:val="left"/>
      <w:pPr>
        <w:ind w:left="3154" w:hanging="344"/>
      </w:pPr>
      <w:rPr>
        <w:rFonts w:hint="default"/>
      </w:rPr>
    </w:lvl>
    <w:lvl w:ilvl="8">
      <w:start w:val="1"/>
      <w:numFmt w:val="bullet"/>
      <w:lvlText w:val="•"/>
      <w:lvlJc w:val="left"/>
      <w:pPr>
        <w:ind w:left="3489" w:hanging="344"/>
      </w:pPr>
      <w:rPr>
        <w:rFonts w:hint="default"/>
      </w:rPr>
    </w:lvl>
  </w:abstractNum>
  <w:abstractNum w:abstractNumId="18" w15:restartNumberingAfterBreak="0">
    <w:nsid w:val="57C01B02"/>
    <w:multiLevelType w:val="hybridMultilevel"/>
    <w:tmpl w:val="0DF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8063B"/>
    <w:multiLevelType w:val="hybridMultilevel"/>
    <w:tmpl w:val="7C9A9B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1D40F5D"/>
    <w:multiLevelType w:val="hybridMultilevel"/>
    <w:tmpl w:val="350EE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F50ACA"/>
    <w:multiLevelType w:val="hybridMultilevel"/>
    <w:tmpl w:val="44C46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34B61"/>
    <w:multiLevelType w:val="hybridMultilevel"/>
    <w:tmpl w:val="349E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6"/>
  </w:num>
  <w:num w:numId="5">
    <w:abstractNumId w:val="8"/>
  </w:num>
  <w:num w:numId="6">
    <w:abstractNumId w:val="1"/>
  </w:num>
  <w:num w:numId="7">
    <w:abstractNumId w:val="17"/>
  </w:num>
  <w:num w:numId="8">
    <w:abstractNumId w:val="18"/>
  </w:num>
  <w:num w:numId="9">
    <w:abstractNumId w:val="11"/>
  </w:num>
  <w:num w:numId="10">
    <w:abstractNumId w:val="7"/>
  </w:num>
  <w:num w:numId="11">
    <w:abstractNumId w:val="14"/>
  </w:num>
  <w:num w:numId="12">
    <w:abstractNumId w:val="4"/>
  </w:num>
  <w:num w:numId="13">
    <w:abstractNumId w:val="0"/>
  </w:num>
  <w:num w:numId="14">
    <w:abstractNumId w:val="22"/>
  </w:num>
  <w:num w:numId="15">
    <w:abstractNumId w:val="19"/>
  </w:num>
  <w:num w:numId="16">
    <w:abstractNumId w:val="2"/>
  </w:num>
  <w:num w:numId="17">
    <w:abstractNumId w:val="12"/>
  </w:num>
  <w:num w:numId="18">
    <w:abstractNumId w:val="10"/>
  </w:num>
  <w:num w:numId="19">
    <w:abstractNumId w:val="6"/>
  </w:num>
  <w:num w:numId="20">
    <w:abstractNumId w:val="9"/>
  </w:num>
  <w:num w:numId="21">
    <w:abstractNumId w:val="2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65F1"/>
    <w:rsid w:val="00007DF7"/>
    <w:rsid w:val="0001012F"/>
    <w:rsid w:val="000169C6"/>
    <w:rsid w:val="00020A7C"/>
    <w:rsid w:val="00037E3C"/>
    <w:rsid w:val="000407A1"/>
    <w:rsid w:val="00042803"/>
    <w:rsid w:val="00047564"/>
    <w:rsid w:val="00063CEB"/>
    <w:rsid w:val="00064F0B"/>
    <w:rsid w:val="00072BC2"/>
    <w:rsid w:val="00081265"/>
    <w:rsid w:val="000953F8"/>
    <w:rsid w:val="000977A4"/>
    <w:rsid w:val="000B0DD4"/>
    <w:rsid w:val="000D10BE"/>
    <w:rsid w:val="000E0C0C"/>
    <w:rsid w:val="000E78C4"/>
    <w:rsid w:val="000F7E69"/>
    <w:rsid w:val="001013EB"/>
    <w:rsid w:val="001136F8"/>
    <w:rsid w:val="00114742"/>
    <w:rsid w:val="00117DBA"/>
    <w:rsid w:val="00120F7E"/>
    <w:rsid w:val="00135A62"/>
    <w:rsid w:val="001563D4"/>
    <w:rsid w:val="001A3862"/>
    <w:rsid w:val="001A5A6A"/>
    <w:rsid w:val="001B455D"/>
    <w:rsid w:val="001D28CC"/>
    <w:rsid w:val="001E1E75"/>
    <w:rsid w:val="001F0A2D"/>
    <w:rsid w:val="00224155"/>
    <w:rsid w:val="002500F3"/>
    <w:rsid w:val="00265D0E"/>
    <w:rsid w:val="002679A2"/>
    <w:rsid w:val="00271C8F"/>
    <w:rsid w:val="0028140E"/>
    <w:rsid w:val="002828ED"/>
    <w:rsid w:val="00283986"/>
    <w:rsid w:val="002A16A1"/>
    <w:rsid w:val="002B5480"/>
    <w:rsid w:val="002C2EB6"/>
    <w:rsid w:val="002C6461"/>
    <w:rsid w:val="002D3AF5"/>
    <w:rsid w:val="002D5753"/>
    <w:rsid w:val="002F410A"/>
    <w:rsid w:val="002F4DDA"/>
    <w:rsid w:val="003224DE"/>
    <w:rsid w:val="0034050C"/>
    <w:rsid w:val="0034392F"/>
    <w:rsid w:val="00346BB3"/>
    <w:rsid w:val="00347DD1"/>
    <w:rsid w:val="003647CC"/>
    <w:rsid w:val="003701F8"/>
    <w:rsid w:val="00381A5C"/>
    <w:rsid w:val="00391B55"/>
    <w:rsid w:val="003959D9"/>
    <w:rsid w:val="003A260A"/>
    <w:rsid w:val="003A39D0"/>
    <w:rsid w:val="003A7CF6"/>
    <w:rsid w:val="003D62D9"/>
    <w:rsid w:val="00446FCD"/>
    <w:rsid w:val="00453A53"/>
    <w:rsid w:val="004832CC"/>
    <w:rsid w:val="00494B3F"/>
    <w:rsid w:val="004B5451"/>
    <w:rsid w:val="004C7B38"/>
    <w:rsid w:val="004F277F"/>
    <w:rsid w:val="005148C3"/>
    <w:rsid w:val="0051493E"/>
    <w:rsid w:val="00533F78"/>
    <w:rsid w:val="0054197C"/>
    <w:rsid w:val="00563442"/>
    <w:rsid w:val="00584972"/>
    <w:rsid w:val="005850C9"/>
    <w:rsid w:val="00587514"/>
    <w:rsid w:val="005917CA"/>
    <w:rsid w:val="00596B69"/>
    <w:rsid w:val="005B21AC"/>
    <w:rsid w:val="005D2E26"/>
    <w:rsid w:val="005D6C7F"/>
    <w:rsid w:val="005E0B36"/>
    <w:rsid w:val="005E5214"/>
    <w:rsid w:val="005E5A82"/>
    <w:rsid w:val="00610818"/>
    <w:rsid w:val="0061345E"/>
    <w:rsid w:val="00631DEB"/>
    <w:rsid w:val="006424F8"/>
    <w:rsid w:val="00652ACB"/>
    <w:rsid w:val="006620FB"/>
    <w:rsid w:val="006638AC"/>
    <w:rsid w:val="00665C98"/>
    <w:rsid w:val="00665DA4"/>
    <w:rsid w:val="00670A56"/>
    <w:rsid w:val="0067482B"/>
    <w:rsid w:val="00675FD0"/>
    <w:rsid w:val="00677C24"/>
    <w:rsid w:val="00682169"/>
    <w:rsid w:val="00692D71"/>
    <w:rsid w:val="006B342C"/>
    <w:rsid w:val="006B3F4D"/>
    <w:rsid w:val="006D25D7"/>
    <w:rsid w:val="006D2B73"/>
    <w:rsid w:val="006D59E2"/>
    <w:rsid w:val="006E04D1"/>
    <w:rsid w:val="006E1C0F"/>
    <w:rsid w:val="006E481B"/>
    <w:rsid w:val="006E609B"/>
    <w:rsid w:val="006F638D"/>
    <w:rsid w:val="006F6EB6"/>
    <w:rsid w:val="00704CAF"/>
    <w:rsid w:val="00707556"/>
    <w:rsid w:val="007219DF"/>
    <w:rsid w:val="00740BD2"/>
    <w:rsid w:val="007463BD"/>
    <w:rsid w:val="0076004E"/>
    <w:rsid w:val="007730DD"/>
    <w:rsid w:val="00775722"/>
    <w:rsid w:val="00777B09"/>
    <w:rsid w:val="00782D77"/>
    <w:rsid w:val="007A3FDD"/>
    <w:rsid w:val="007A7966"/>
    <w:rsid w:val="007B323E"/>
    <w:rsid w:val="007C3BEA"/>
    <w:rsid w:val="007D0F76"/>
    <w:rsid w:val="007D39BB"/>
    <w:rsid w:val="007E4409"/>
    <w:rsid w:val="007E63BC"/>
    <w:rsid w:val="00803E6E"/>
    <w:rsid w:val="00810E6F"/>
    <w:rsid w:val="008307AE"/>
    <w:rsid w:val="008404DD"/>
    <w:rsid w:val="008D3400"/>
    <w:rsid w:val="008D603F"/>
    <w:rsid w:val="00904DAD"/>
    <w:rsid w:val="00912C89"/>
    <w:rsid w:val="00922500"/>
    <w:rsid w:val="00923436"/>
    <w:rsid w:val="00924EE1"/>
    <w:rsid w:val="00931A9C"/>
    <w:rsid w:val="00944E4D"/>
    <w:rsid w:val="00951E91"/>
    <w:rsid w:val="00993728"/>
    <w:rsid w:val="009A067D"/>
    <w:rsid w:val="009B461D"/>
    <w:rsid w:val="009B6F0E"/>
    <w:rsid w:val="009B7286"/>
    <w:rsid w:val="009C5DC4"/>
    <w:rsid w:val="009D115D"/>
    <w:rsid w:val="009E7573"/>
    <w:rsid w:val="009F0C07"/>
    <w:rsid w:val="009F17D9"/>
    <w:rsid w:val="00A022FA"/>
    <w:rsid w:val="00A112F0"/>
    <w:rsid w:val="00A139CF"/>
    <w:rsid w:val="00A15F3A"/>
    <w:rsid w:val="00A175C3"/>
    <w:rsid w:val="00A2712E"/>
    <w:rsid w:val="00A32B2C"/>
    <w:rsid w:val="00A33893"/>
    <w:rsid w:val="00A70E5F"/>
    <w:rsid w:val="00A8766E"/>
    <w:rsid w:val="00A9165F"/>
    <w:rsid w:val="00AB50CA"/>
    <w:rsid w:val="00AF1314"/>
    <w:rsid w:val="00AF6243"/>
    <w:rsid w:val="00B03493"/>
    <w:rsid w:val="00B12032"/>
    <w:rsid w:val="00B15BE5"/>
    <w:rsid w:val="00B3218F"/>
    <w:rsid w:val="00B5100D"/>
    <w:rsid w:val="00B51C2E"/>
    <w:rsid w:val="00B51CB9"/>
    <w:rsid w:val="00B63924"/>
    <w:rsid w:val="00B977E9"/>
    <w:rsid w:val="00BA3427"/>
    <w:rsid w:val="00BC231C"/>
    <w:rsid w:val="00BC6CDF"/>
    <w:rsid w:val="00BD6C7A"/>
    <w:rsid w:val="00BD77D8"/>
    <w:rsid w:val="00BE72F1"/>
    <w:rsid w:val="00C01B0D"/>
    <w:rsid w:val="00C20469"/>
    <w:rsid w:val="00C22183"/>
    <w:rsid w:val="00C27B72"/>
    <w:rsid w:val="00C31E0B"/>
    <w:rsid w:val="00C3401D"/>
    <w:rsid w:val="00C34621"/>
    <w:rsid w:val="00C44D8B"/>
    <w:rsid w:val="00C5003F"/>
    <w:rsid w:val="00C53225"/>
    <w:rsid w:val="00C566E4"/>
    <w:rsid w:val="00C60997"/>
    <w:rsid w:val="00C81349"/>
    <w:rsid w:val="00CF22ED"/>
    <w:rsid w:val="00CF7CAE"/>
    <w:rsid w:val="00D018F5"/>
    <w:rsid w:val="00D17617"/>
    <w:rsid w:val="00D25C17"/>
    <w:rsid w:val="00D31044"/>
    <w:rsid w:val="00D34D1E"/>
    <w:rsid w:val="00D353A4"/>
    <w:rsid w:val="00D51B80"/>
    <w:rsid w:val="00D549C9"/>
    <w:rsid w:val="00D60D83"/>
    <w:rsid w:val="00DA422B"/>
    <w:rsid w:val="00DA435B"/>
    <w:rsid w:val="00DA4C6E"/>
    <w:rsid w:val="00DC5075"/>
    <w:rsid w:val="00DD572A"/>
    <w:rsid w:val="00E0720C"/>
    <w:rsid w:val="00E319D9"/>
    <w:rsid w:val="00E471A4"/>
    <w:rsid w:val="00E86F8A"/>
    <w:rsid w:val="00E92612"/>
    <w:rsid w:val="00E97EB9"/>
    <w:rsid w:val="00EB436F"/>
    <w:rsid w:val="00EB65DA"/>
    <w:rsid w:val="00EC5BA5"/>
    <w:rsid w:val="00EC6927"/>
    <w:rsid w:val="00EE1EBE"/>
    <w:rsid w:val="00EF0CBF"/>
    <w:rsid w:val="00F01F33"/>
    <w:rsid w:val="00F078AF"/>
    <w:rsid w:val="00F1450D"/>
    <w:rsid w:val="00F14EBE"/>
    <w:rsid w:val="00F16EA6"/>
    <w:rsid w:val="00F25401"/>
    <w:rsid w:val="00F300A1"/>
    <w:rsid w:val="00F475C9"/>
    <w:rsid w:val="00F51010"/>
    <w:rsid w:val="00F517C3"/>
    <w:rsid w:val="00F51A89"/>
    <w:rsid w:val="00F61805"/>
    <w:rsid w:val="00F66FD9"/>
    <w:rsid w:val="00F72614"/>
    <w:rsid w:val="00F8362A"/>
    <w:rsid w:val="00F8742E"/>
    <w:rsid w:val="00F90B4B"/>
    <w:rsid w:val="00F93250"/>
    <w:rsid w:val="00F95BBA"/>
    <w:rsid w:val="00FF0B60"/>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74B5753-2C6D-4C45-8835-4A1427B1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9DF"/>
    <w:rPr>
      <w:rFonts w:eastAsiaTheme="majorEastAsia" w:cstheme="majorBidi"/>
      <w:color w:val="243F60" w:themeColor="accent1" w:themeShade="7F"/>
      <w:sz w:val="24"/>
      <w:szCs w:val="24"/>
    </w:rPr>
  </w:style>
  <w:style w:type="character" w:styleId="Hyperlink">
    <w:name w:val="Hyperlink"/>
    <w:basedOn w:val="DefaultParagraphFont"/>
    <w:uiPriority w:val="99"/>
    <w:semiHidden/>
    <w:unhideWhenUsed/>
    <w:rsid w:val="008307AE"/>
    <w:rPr>
      <w:color w:val="2B674D"/>
      <w:u w:val="single"/>
    </w:rPr>
  </w:style>
  <w:style w:type="paragraph" w:customStyle="1" w:styleId="fieldnameplain">
    <w:name w:val="fieldnameplain"/>
    <w:basedOn w:val="Normal"/>
    <w:rsid w:val="006B3F4D"/>
    <w:pPr>
      <w:spacing w:before="100" w:beforeAutospacing="1" w:after="100" w:afterAutospacing="1" w:line="240" w:lineRule="auto"/>
    </w:pPr>
    <w:rPr>
      <w:rFonts w:ascii="Verdana" w:eastAsia="Times New Roman" w:hAnsi="Verdana" w:cs="Times New Roman"/>
      <w:b/>
      <w:bCs/>
      <w:color w:val="006600"/>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92-170-0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A502-157B-4B7E-89BA-1A6ADEA2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Larson</dc:creator>
  <cp:lastModifiedBy>Ben King</cp:lastModifiedBy>
  <cp:revision>5</cp:revision>
  <cp:lastPrinted>2017-07-12T23:07:00Z</cp:lastPrinted>
  <dcterms:created xsi:type="dcterms:W3CDTF">2017-07-25T16:03:00Z</dcterms:created>
  <dcterms:modified xsi:type="dcterms:W3CDTF">2017-07-31T15:30:00Z</dcterms:modified>
</cp:coreProperties>
</file>