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6E" w:rsidRPr="008E1641" w:rsidRDefault="00074280" w:rsidP="002679A2">
      <w:pPr>
        <w:pStyle w:val="Title"/>
        <w:pBdr>
          <w:bottom w:val="single" w:sz="8" w:space="4" w:color="auto"/>
        </w:pBdr>
        <w:spacing w:after="0"/>
        <w:rPr>
          <w:color w:val="auto"/>
        </w:rPr>
      </w:pPr>
      <w:r w:rsidRPr="008E1641">
        <w:rPr>
          <w:color w:val="auto"/>
        </w:rPr>
        <w:t>Perkins/CTE</w:t>
      </w:r>
      <w:r w:rsidR="001A5A6A" w:rsidRPr="008E1641">
        <w:rPr>
          <w:color w:val="auto"/>
        </w:rPr>
        <w:t xml:space="preserve"> </w:t>
      </w:r>
      <w:r w:rsidRPr="008E1641">
        <w:rPr>
          <w:color w:val="auto"/>
          <w:sz w:val="18"/>
          <w:szCs w:val="18"/>
        </w:rPr>
        <w:t xml:space="preserve">Carl </w:t>
      </w:r>
      <w:r w:rsidR="00593922" w:rsidRPr="008E1641">
        <w:rPr>
          <w:color w:val="auto"/>
          <w:sz w:val="18"/>
          <w:szCs w:val="18"/>
        </w:rPr>
        <w:t xml:space="preserve">D. </w:t>
      </w:r>
      <w:r w:rsidRPr="008E1641">
        <w:rPr>
          <w:color w:val="auto"/>
          <w:sz w:val="18"/>
          <w:szCs w:val="18"/>
        </w:rPr>
        <w:t>Perkins</w:t>
      </w:r>
      <w:r w:rsidR="00593922" w:rsidRPr="008E1641">
        <w:rPr>
          <w:color w:val="auto"/>
          <w:sz w:val="18"/>
          <w:szCs w:val="18"/>
        </w:rPr>
        <w:t xml:space="preserve"> Act of 2006</w:t>
      </w:r>
      <w:r w:rsidRPr="008E1641">
        <w:rPr>
          <w:color w:val="auto"/>
          <w:sz w:val="18"/>
          <w:szCs w:val="18"/>
        </w:rPr>
        <w:t>/Career and Technical Education</w:t>
      </w:r>
    </w:p>
    <w:p w:rsidR="002679A2" w:rsidRPr="008E1641" w:rsidRDefault="00EC6936" w:rsidP="002679A2">
      <w:pPr>
        <w:spacing w:after="0" w:line="240" w:lineRule="auto"/>
        <w:jc w:val="right"/>
        <w:rPr>
          <w:b/>
          <w:szCs w:val="18"/>
        </w:rPr>
      </w:pPr>
      <w:r w:rsidRPr="008E1641">
        <w:rPr>
          <w:b/>
          <w:szCs w:val="18"/>
        </w:rPr>
        <w:t>LEA</w:t>
      </w:r>
      <w:r w:rsidR="002679A2" w:rsidRPr="008E1641">
        <w:rPr>
          <w:b/>
          <w:szCs w:val="18"/>
        </w:rPr>
        <w:tab/>
      </w:r>
      <w:r w:rsidR="002679A2" w:rsidRPr="008E1641">
        <w:rPr>
          <w:b/>
          <w:szCs w:val="18"/>
        </w:rPr>
        <w:tab/>
      </w:r>
      <w:r w:rsidR="00F61805" w:rsidRPr="008E1641">
        <w:rPr>
          <w:b/>
          <w:szCs w:val="18"/>
        </w:rPr>
        <w:tab/>
      </w:r>
      <w:r w:rsidR="002679A2" w:rsidRPr="008E1641">
        <w:rPr>
          <w:b/>
          <w:szCs w:val="18"/>
        </w:rPr>
        <w:tab/>
      </w:r>
      <w:r w:rsidR="002679A2" w:rsidRPr="008E1641">
        <w:rPr>
          <w:b/>
          <w:szCs w:val="18"/>
        </w:rPr>
        <w:tab/>
        <w:t>Program Monitor</w:t>
      </w:r>
      <w:r w:rsidR="002679A2" w:rsidRPr="008E1641">
        <w:rPr>
          <w:b/>
          <w:szCs w:val="18"/>
        </w:rPr>
        <w:tab/>
      </w:r>
      <w:r w:rsidR="002679A2" w:rsidRPr="008E1641">
        <w:rPr>
          <w:b/>
          <w:szCs w:val="18"/>
        </w:rPr>
        <w:tab/>
      </w:r>
      <w:r w:rsidR="00F61805" w:rsidRPr="008E1641">
        <w:rPr>
          <w:b/>
          <w:szCs w:val="18"/>
        </w:rPr>
        <w:tab/>
      </w:r>
      <w:r w:rsidR="002679A2" w:rsidRPr="008E1641">
        <w:rPr>
          <w:b/>
          <w:szCs w:val="18"/>
        </w:rPr>
        <w:tab/>
      </w:r>
      <w:r w:rsidR="002679A2" w:rsidRPr="008E1641">
        <w:rPr>
          <w:b/>
          <w:szCs w:val="18"/>
        </w:rPr>
        <w:tab/>
        <w:t>Date</w:t>
      </w:r>
      <w:r w:rsidR="00F61805" w:rsidRPr="008E1641">
        <w:rPr>
          <w:b/>
          <w:szCs w:val="18"/>
        </w:rPr>
        <w:tab/>
      </w:r>
      <w:r w:rsidR="00F61805" w:rsidRPr="008E1641">
        <w:rPr>
          <w:b/>
          <w:szCs w:val="18"/>
        </w:rPr>
        <w:tab/>
      </w:r>
      <w:r w:rsidR="00F61805" w:rsidRPr="008E1641">
        <w:rPr>
          <w:b/>
          <w:szCs w:val="18"/>
        </w:rPr>
        <w:tab/>
      </w:r>
      <w:r w:rsidR="00F61805" w:rsidRPr="008E1641">
        <w:rPr>
          <w:b/>
          <w:szCs w:val="18"/>
        </w:rPr>
        <w:tab/>
      </w:r>
    </w:p>
    <w:p w:rsidR="002679A2" w:rsidRPr="008E1641" w:rsidRDefault="002679A2" w:rsidP="002679A2">
      <w:pPr>
        <w:spacing w:after="0" w:line="240" w:lineRule="auto"/>
        <w:rPr>
          <w:szCs w:val="18"/>
        </w:rPr>
      </w:pPr>
    </w:p>
    <w:p w:rsidR="004E1FDC" w:rsidRPr="008E1641" w:rsidRDefault="004E1FDC" w:rsidP="002679A2">
      <w:pPr>
        <w:spacing w:after="0" w:line="240" w:lineRule="auto"/>
        <w:rPr>
          <w:szCs w:val="18"/>
        </w:rPr>
      </w:pPr>
    </w:p>
    <w:tbl>
      <w:tblPr>
        <w:tblStyle w:val="TableGrid"/>
        <w:tblW w:w="15303" w:type="dxa"/>
        <w:tblInd w:w="-455" w:type="dxa"/>
        <w:tblLayout w:type="fixed"/>
        <w:tblLook w:val="04A0" w:firstRow="1" w:lastRow="0" w:firstColumn="1" w:lastColumn="0" w:noHBand="0" w:noVBand="1"/>
      </w:tblPr>
      <w:tblGrid>
        <w:gridCol w:w="630"/>
        <w:gridCol w:w="2880"/>
        <w:gridCol w:w="8366"/>
        <w:gridCol w:w="3427"/>
      </w:tblGrid>
      <w:tr w:rsidR="00246795" w:rsidRPr="008E1641" w:rsidTr="00246795">
        <w:trPr>
          <w:tblHeader/>
        </w:trPr>
        <w:tc>
          <w:tcPr>
            <w:tcW w:w="630" w:type="dxa"/>
            <w:shd w:val="clear" w:color="auto" w:fill="BFBFBF" w:themeFill="background1" w:themeFillShade="BF"/>
          </w:tcPr>
          <w:p w:rsidR="00246795" w:rsidRPr="008E1641" w:rsidRDefault="00246795" w:rsidP="002D3AF5">
            <w:pPr>
              <w:rPr>
                <w:rFonts w:cs="Arial"/>
                <w:b/>
                <w:szCs w:val="18"/>
              </w:rPr>
            </w:pPr>
            <w:r w:rsidRPr="008E1641">
              <w:rPr>
                <w:rFonts w:cs="Arial"/>
                <w:b/>
                <w:szCs w:val="18"/>
              </w:rPr>
              <w:t>Item</w:t>
            </w:r>
          </w:p>
        </w:tc>
        <w:tc>
          <w:tcPr>
            <w:tcW w:w="2880" w:type="dxa"/>
            <w:shd w:val="clear" w:color="auto" w:fill="BFBFBF" w:themeFill="background1" w:themeFillShade="BF"/>
          </w:tcPr>
          <w:p w:rsidR="00246795" w:rsidRPr="008E1641" w:rsidRDefault="00246795" w:rsidP="002D3AF5">
            <w:pPr>
              <w:rPr>
                <w:rFonts w:cs="Arial"/>
                <w:b/>
                <w:szCs w:val="18"/>
              </w:rPr>
            </w:pPr>
            <w:r w:rsidRPr="008E1641">
              <w:rPr>
                <w:rFonts w:cs="Arial"/>
                <w:b/>
                <w:szCs w:val="18"/>
              </w:rPr>
              <w:t>Description</w:t>
            </w:r>
          </w:p>
        </w:tc>
        <w:tc>
          <w:tcPr>
            <w:tcW w:w="8366" w:type="dxa"/>
            <w:shd w:val="clear" w:color="auto" w:fill="BFBFBF" w:themeFill="background1" w:themeFillShade="BF"/>
          </w:tcPr>
          <w:p w:rsidR="00246795" w:rsidRPr="008E1641" w:rsidRDefault="00246795" w:rsidP="007E4409">
            <w:pPr>
              <w:tabs>
                <w:tab w:val="right" w:pos="2484"/>
              </w:tabs>
              <w:rPr>
                <w:rFonts w:cs="Arial"/>
                <w:b/>
                <w:szCs w:val="18"/>
              </w:rPr>
            </w:pPr>
            <w:r w:rsidRPr="008E1641">
              <w:rPr>
                <w:rFonts w:cs="Arial"/>
                <w:b/>
                <w:szCs w:val="18"/>
              </w:rPr>
              <w:t>Evidence</w:t>
            </w:r>
            <w:r w:rsidRPr="008E1641">
              <w:rPr>
                <w:rFonts w:cs="Arial"/>
                <w:b/>
                <w:szCs w:val="18"/>
              </w:rPr>
              <w:tab/>
            </w:r>
          </w:p>
        </w:tc>
        <w:tc>
          <w:tcPr>
            <w:tcW w:w="3427" w:type="dxa"/>
            <w:shd w:val="clear" w:color="auto" w:fill="BFBFBF" w:themeFill="background1" w:themeFillShade="BF"/>
          </w:tcPr>
          <w:p w:rsidR="00246795" w:rsidRPr="008E1641" w:rsidRDefault="00246795" w:rsidP="002D3AF5">
            <w:pPr>
              <w:rPr>
                <w:rFonts w:cs="Arial"/>
                <w:b/>
                <w:szCs w:val="18"/>
              </w:rPr>
            </w:pPr>
            <w:r w:rsidRPr="008E1641">
              <w:rPr>
                <w:rFonts w:cs="Arial"/>
                <w:b/>
                <w:szCs w:val="18"/>
              </w:rPr>
              <w:t>Determination</w:t>
            </w:r>
          </w:p>
        </w:tc>
      </w:tr>
      <w:tr w:rsidR="00246795" w:rsidRPr="008E1641" w:rsidTr="00246795">
        <w:tc>
          <w:tcPr>
            <w:tcW w:w="630" w:type="dxa"/>
            <w:shd w:val="clear" w:color="auto" w:fill="FFFFFF" w:themeFill="background1"/>
          </w:tcPr>
          <w:p w:rsidR="00246795" w:rsidRPr="008E1641" w:rsidRDefault="00246795" w:rsidP="002D3AF5">
            <w:pPr>
              <w:rPr>
                <w:rFonts w:cs="Times New Roman"/>
                <w:szCs w:val="18"/>
              </w:rPr>
            </w:pPr>
            <w:r w:rsidRPr="008E1641">
              <w:rPr>
                <w:rFonts w:cs="Times New Roman"/>
                <w:szCs w:val="18"/>
              </w:rPr>
              <w:t>12.1</w:t>
            </w:r>
          </w:p>
        </w:tc>
        <w:tc>
          <w:tcPr>
            <w:tcW w:w="2880" w:type="dxa"/>
            <w:shd w:val="clear" w:color="auto" w:fill="FFFFFF" w:themeFill="background1"/>
          </w:tcPr>
          <w:p w:rsidR="00246795" w:rsidRPr="008E1641" w:rsidRDefault="00246795" w:rsidP="00074280">
            <w:pPr>
              <w:rPr>
                <w:rFonts w:cs="Times New Roman"/>
                <w:b/>
                <w:szCs w:val="18"/>
              </w:rPr>
            </w:pPr>
            <w:r w:rsidRPr="008E1641">
              <w:rPr>
                <w:rFonts w:cs="Times New Roman"/>
                <w:b/>
                <w:szCs w:val="18"/>
              </w:rPr>
              <w:t>Assurances</w:t>
            </w:r>
          </w:p>
          <w:p w:rsidR="00246795" w:rsidRPr="008E1641" w:rsidRDefault="00246795" w:rsidP="00074280">
            <w:pPr>
              <w:rPr>
                <w:rFonts w:cs="Times New Roman"/>
                <w:i/>
                <w:szCs w:val="18"/>
              </w:rPr>
            </w:pPr>
            <w:r w:rsidRPr="008E1641">
              <w:rPr>
                <w:rFonts w:cs="Times New Roman"/>
                <w:i/>
                <w:szCs w:val="18"/>
              </w:rPr>
              <w:t>The LEA complies with the assurances for state and federal funds. State CTE Standards and Perkins Act of 2006 (Voc. Ed. State Enhancement Funds, Carl</w:t>
            </w:r>
          </w:p>
          <w:p w:rsidR="00246795" w:rsidRPr="008E1641" w:rsidRDefault="00246795" w:rsidP="00074280">
            <w:pPr>
              <w:rPr>
                <w:rFonts w:cs="Times New Roman"/>
                <w:i/>
                <w:szCs w:val="18"/>
              </w:rPr>
            </w:pPr>
            <w:r w:rsidRPr="008E1641">
              <w:rPr>
                <w:rFonts w:cs="Times New Roman"/>
                <w:i/>
                <w:szCs w:val="18"/>
              </w:rPr>
              <w:t>D. Perkins Act of 2006) Sec 134 (b) (6).</w:t>
            </w:r>
          </w:p>
        </w:tc>
        <w:tc>
          <w:tcPr>
            <w:tcW w:w="8366" w:type="dxa"/>
            <w:shd w:val="clear" w:color="auto" w:fill="FFFFFF" w:themeFill="background1"/>
          </w:tcPr>
          <w:p w:rsidR="00246795" w:rsidRPr="008E1641" w:rsidRDefault="00246795" w:rsidP="00074280">
            <w:pPr>
              <w:pStyle w:val="Calibri"/>
            </w:pPr>
            <w:r w:rsidRPr="008E1641">
              <w:t>LEA Level</w:t>
            </w:r>
          </w:p>
          <w:p w:rsidR="00246795" w:rsidRPr="008E1641" w:rsidRDefault="00246795" w:rsidP="00074280">
            <w:pPr>
              <w:pStyle w:val="Calibri"/>
              <w:rPr>
                <w:b w:val="0"/>
              </w:rPr>
            </w:pPr>
            <w:r w:rsidRPr="008E1641">
              <w:rPr>
                <w:rFonts w:ascii="Cambria Math" w:hAnsi="Cambria Math"/>
                <w:b w:val="0"/>
              </w:rPr>
              <w:t>⧠</w:t>
            </w:r>
            <w:r w:rsidRPr="008E1641">
              <w:rPr>
                <w:b w:val="0"/>
              </w:rPr>
              <w:t xml:space="preserve"> A. Signed</w:t>
            </w:r>
            <w:r w:rsidRPr="008E1641">
              <w:rPr>
                <w:b w:val="0"/>
                <w:spacing w:val="22"/>
              </w:rPr>
              <w:t xml:space="preserve"> </w:t>
            </w:r>
            <w:r w:rsidRPr="008E1641">
              <w:rPr>
                <w:b w:val="0"/>
              </w:rPr>
              <w:t>and</w:t>
            </w:r>
            <w:r w:rsidRPr="008E1641">
              <w:rPr>
                <w:b w:val="0"/>
                <w:spacing w:val="22"/>
              </w:rPr>
              <w:t xml:space="preserve"> </w:t>
            </w:r>
            <w:r w:rsidRPr="008E1641">
              <w:rPr>
                <w:b w:val="0"/>
              </w:rPr>
              <w:t>dated</w:t>
            </w:r>
            <w:r w:rsidRPr="008E1641">
              <w:rPr>
                <w:b w:val="0"/>
                <w:spacing w:val="22"/>
              </w:rPr>
              <w:t xml:space="preserve"> </w:t>
            </w:r>
            <w:r w:rsidRPr="008E1641">
              <w:rPr>
                <w:b w:val="0"/>
              </w:rPr>
              <w:t>copy</w:t>
            </w:r>
            <w:r w:rsidRPr="008E1641">
              <w:rPr>
                <w:b w:val="0"/>
                <w:spacing w:val="22"/>
              </w:rPr>
              <w:t xml:space="preserve"> </w:t>
            </w:r>
            <w:r w:rsidRPr="008E1641">
              <w:rPr>
                <w:b w:val="0"/>
              </w:rPr>
              <w:t>of</w:t>
            </w:r>
            <w:r w:rsidRPr="008E1641">
              <w:rPr>
                <w:b w:val="0"/>
                <w:spacing w:val="22"/>
              </w:rPr>
              <w:t xml:space="preserve"> </w:t>
            </w:r>
            <w:r w:rsidRPr="008E1641">
              <w:rPr>
                <w:b w:val="0"/>
              </w:rPr>
              <w:t>current</w:t>
            </w:r>
            <w:r w:rsidRPr="008E1641">
              <w:rPr>
                <w:b w:val="0"/>
                <w:spacing w:val="22"/>
              </w:rPr>
              <w:t xml:space="preserve"> </w:t>
            </w:r>
            <w:r w:rsidRPr="008E1641">
              <w:rPr>
                <w:b w:val="0"/>
                <w:spacing w:val="1"/>
              </w:rPr>
              <w:t>year</w:t>
            </w:r>
            <w:r w:rsidR="000D3B6B" w:rsidRPr="008E1641">
              <w:rPr>
                <w:b w:val="0"/>
                <w:spacing w:val="32"/>
                <w:w w:val="102"/>
              </w:rPr>
              <w:t xml:space="preserve"> </w:t>
            </w:r>
            <w:r w:rsidRPr="008E1641">
              <w:rPr>
                <w:b w:val="0"/>
              </w:rPr>
              <w:t>Perkins</w:t>
            </w:r>
            <w:r w:rsidRPr="008E1641">
              <w:rPr>
                <w:b w:val="0"/>
                <w:spacing w:val="39"/>
              </w:rPr>
              <w:t xml:space="preserve"> </w:t>
            </w:r>
            <w:r w:rsidRPr="008E1641">
              <w:rPr>
                <w:b w:val="0"/>
              </w:rPr>
              <w:t>Assurances.</w:t>
            </w:r>
          </w:p>
          <w:p w:rsidR="00246795" w:rsidRPr="008E1641" w:rsidRDefault="00246795" w:rsidP="009578D6">
            <w:pPr>
              <w:pStyle w:val="Calibri"/>
              <w:rPr>
                <w:b w:val="0"/>
              </w:rPr>
            </w:pPr>
            <w:r w:rsidRPr="008E1641">
              <w:rPr>
                <w:rFonts w:ascii="Cambria Math" w:hAnsi="Cambria Math"/>
                <w:b w:val="0"/>
              </w:rPr>
              <w:t>⧠</w:t>
            </w:r>
            <w:r w:rsidRPr="008E1641">
              <w:rPr>
                <w:b w:val="0"/>
              </w:rPr>
              <w:t xml:space="preserve"> B. Copy of minutes from School Board meeting in which Perkins Local Plan was approved.</w:t>
            </w:r>
          </w:p>
        </w:tc>
        <w:tc>
          <w:tcPr>
            <w:tcW w:w="3427" w:type="dxa"/>
            <w:shd w:val="clear" w:color="auto" w:fill="FFFFFF" w:themeFill="background1"/>
          </w:tcPr>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Compliant</w:t>
            </w:r>
          </w:p>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Action Plan Approved</w:t>
            </w:r>
          </w:p>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Evidence Needed</w:t>
            </w:r>
          </w:p>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Noncompliant</w:t>
            </w:r>
          </w:p>
          <w:p w:rsidR="00246795" w:rsidRPr="008E1641" w:rsidRDefault="00246795" w:rsidP="00EC6936">
            <w:pPr>
              <w:rPr>
                <w:rFonts w:cs="Times New Roman"/>
                <w:szCs w:val="18"/>
              </w:rPr>
            </w:pPr>
            <w:r w:rsidRPr="008E1641">
              <w:rPr>
                <w:rFonts w:ascii="Cambria Math" w:hAnsi="Cambria Math" w:cs="Cambria Math"/>
                <w:szCs w:val="18"/>
              </w:rPr>
              <w:t>⧠</w:t>
            </w:r>
            <w:r w:rsidRPr="008E1641">
              <w:rPr>
                <w:rFonts w:cs="Cambria Math"/>
                <w:szCs w:val="18"/>
              </w:rPr>
              <w:t xml:space="preserve"> N/A</w:t>
            </w:r>
          </w:p>
        </w:tc>
      </w:tr>
      <w:tr w:rsidR="00246795" w:rsidRPr="008E1641" w:rsidTr="00246795">
        <w:tc>
          <w:tcPr>
            <w:tcW w:w="630" w:type="dxa"/>
            <w:shd w:val="clear" w:color="auto" w:fill="F2F2F2" w:themeFill="background1" w:themeFillShade="F2"/>
          </w:tcPr>
          <w:p w:rsidR="00246795" w:rsidRPr="008E1641" w:rsidRDefault="00246795" w:rsidP="00074280">
            <w:pPr>
              <w:rPr>
                <w:rFonts w:cs="Times New Roman"/>
                <w:szCs w:val="18"/>
              </w:rPr>
            </w:pPr>
            <w:r w:rsidRPr="008E1641">
              <w:rPr>
                <w:rFonts w:cs="Times New Roman"/>
                <w:szCs w:val="18"/>
              </w:rPr>
              <w:t>12.2</w:t>
            </w:r>
          </w:p>
        </w:tc>
        <w:tc>
          <w:tcPr>
            <w:tcW w:w="2880" w:type="dxa"/>
            <w:shd w:val="clear" w:color="auto" w:fill="F2F2F2" w:themeFill="background1" w:themeFillShade="F2"/>
          </w:tcPr>
          <w:p w:rsidR="00246795" w:rsidRPr="008E1641" w:rsidRDefault="00246795" w:rsidP="00A33893">
            <w:pPr>
              <w:rPr>
                <w:rFonts w:cs="Times New Roman"/>
                <w:b/>
                <w:szCs w:val="18"/>
              </w:rPr>
            </w:pPr>
            <w:r w:rsidRPr="008E1641">
              <w:rPr>
                <w:rFonts w:cs="Times New Roman"/>
                <w:b/>
                <w:szCs w:val="18"/>
              </w:rPr>
              <w:t>Frameworks</w:t>
            </w:r>
          </w:p>
          <w:p w:rsidR="00246795" w:rsidRPr="008E1641" w:rsidRDefault="00246795" w:rsidP="00A33893">
            <w:pPr>
              <w:rPr>
                <w:rFonts w:cs="Times New Roman"/>
                <w:i/>
                <w:szCs w:val="18"/>
              </w:rPr>
            </w:pPr>
            <w:r w:rsidRPr="008E1641">
              <w:rPr>
                <w:rFonts w:cs="Times New Roman"/>
                <w:i/>
                <w:szCs w:val="18"/>
              </w:rPr>
              <w:t>Improve academic and technical skills of students enrolled in career and technical education programs through the integration of coherent and rigorous content aligned with challenging academic standards and relevant CTE programs. Sec 134(b) (3) (B).</w:t>
            </w:r>
          </w:p>
        </w:tc>
        <w:tc>
          <w:tcPr>
            <w:tcW w:w="8366" w:type="dxa"/>
            <w:shd w:val="clear" w:color="auto" w:fill="F2F2F2" w:themeFill="background1" w:themeFillShade="F2"/>
          </w:tcPr>
          <w:p w:rsidR="00246795" w:rsidRPr="008E1641" w:rsidRDefault="00246795" w:rsidP="00C20469">
            <w:pPr>
              <w:pStyle w:val="Calibri"/>
            </w:pPr>
            <w:r w:rsidRPr="008E1641">
              <w:t>LEA Level</w:t>
            </w:r>
          </w:p>
          <w:p w:rsidR="00246795" w:rsidRPr="008E1641" w:rsidRDefault="00246795" w:rsidP="0041675D">
            <w:pPr>
              <w:pStyle w:val="Calibri"/>
              <w:rPr>
                <w:b w:val="0"/>
              </w:rPr>
            </w:pPr>
            <w:r w:rsidRPr="008E1641">
              <w:rPr>
                <w:rFonts w:ascii="Cambria Math" w:hAnsi="Cambria Math"/>
                <w:b w:val="0"/>
              </w:rPr>
              <w:t>⧠</w:t>
            </w:r>
            <w:r w:rsidRPr="008E1641">
              <w:rPr>
                <w:b w:val="0"/>
              </w:rPr>
              <w:t xml:space="preserve"> A. Copy of the current year course catalog(s) identifying CTE courses.</w:t>
            </w:r>
          </w:p>
          <w:p w:rsidR="00246795" w:rsidRPr="008E1641" w:rsidRDefault="00246795" w:rsidP="009578D6">
            <w:pPr>
              <w:pStyle w:val="Calibri"/>
              <w:rPr>
                <w:b w:val="0"/>
                <w:i/>
              </w:rPr>
            </w:pPr>
            <w:r w:rsidRPr="008E1641">
              <w:rPr>
                <w:rFonts w:ascii="Cambria Math" w:hAnsi="Cambria Math"/>
                <w:b w:val="0"/>
              </w:rPr>
              <w:t>⧠</w:t>
            </w:r>
            <w:r w:rsidR="00A02F2B" w:rsidRPr="008E1641">
              <w:rPr>
                <w:b w:val="0"/>
              </w:rPr>
              <w:t xml:space="preserve"> B</w:t>
            </w:r>
            <w:r w:rsidRPr="008E1641">
              <w:rPr>
                <w:b w:val="0"/>
              </w:rPr>
              <w:t xml:space="preserve">. Locally completed and modified frameworks with appropriate signatures and all required components (including relevant GLEs, EALRs, and/or CCSSs) for ALL approved CTE courses taught in the LEA </w:t>
            </w:r>
            <w:r w:rsidRPr="008E1641">
              <w:rPr>
                <w:b w:val="0"/>
                <w:i/>
              </w:rPr>
              <w:t>(must provide one sample framework for each program area offered within the LEA).</w:t>
            </w:r>
          </w:p>
        </w:tc>
        <w:tc>
          <w:tcPr>
            <w:tcW w:w="3427" w:type="dxa"/>
            <w:shd w:val="clear" w:color="auto" w:fill="F2F2F2" w:themeFill="background1" w:themeFillShade="F2"/>
          </w:tcPr>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Compliant</w:t>
            </w:r>
          </w:p>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Action Plan Approved</w:t>
            </w:r>
          </w:p>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Evidence Needed</w:t>
            </w:r>
          </w:p>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Noncompliant</w:t>
            </w:r>
          </w:p>
          <w:p w:rsidR="00246795" w:rsidRPr="008E1641" w:rsidRDefault="00246795" w:rsidP="00EC6936">
            <w:pPr>
              <w:rPr>
                <w:rFonts w:cs="Times New Roman"/>
                <w:szCs w:val="18"/>
              </w:rPr>
            </w:pPr>
            <w:r w:rsidRPr="008E1641">
              <w:rPr>
                <w:rFonts w:ascii="Cambria Math" w:hAnsi="Cambria Math" w:cs="Cambria Math"/>
                <w:szCs w:val="18"/>
              </w:rPr>
              <w:t>⧠</w:t>
            </w:r>
            <w:r w:rsidRPr="008E1641">
              <w:rPr>
                <w:rFonts w:cs="Cambria Math"/>
                <w:szCs w:val="18"/>
              </w:rPr>
              <w:t xml:space="preserve"> N/A</w:t>
            </w:r>
          </w:p>
        </w:tc>
      </w:tr>
      <w:tr w:rsidR="00246795" w:rsidRPr="008E1641" w:rsidTr="00246795">
        <w:tc>
          <w:tcPr>
            <w:tcW w:w="630" w:type="dxa"/>
            <w:shd w:val="clear" w:color="auto" w:fill="auto"/>
          </w:tcPr>
          <w:p w:rsidR="00246795" w:rsidRPr="008E1641" w:rsidRDefault="00246795" w:rsidP="002D3AF5">
            <w:pPr>
              <w:rPr>
                <w:rFonts w:cs="Times New Roman"/>
                <w:szCs w:val="18"/>
              </w:rPr>
            </w:pPr>
            <w:r w:rsidRPr="008E1641">
              <w:rPr>
                <w:rFonts w:cs="Times New Roman"/>
                <w:szCs w:val="18"/>
              </w:rPr>
              <w:t>12.3</w:t>
            </w:r>
          </w:p>
        </w:tc>
        <w:tc>
          <w:tcPr>
            <w:tcW w:w="2880" w:type="dxa"/>
            <w:shd w:val="clear" w:color="auto" w:fill="auto"/>
          </w:tcPr>
          <w:p w:rsidR="00246795" w:rsidRPr="008E1641" w:rsidRDefault="00246795" w:rsidP="00A33893">
            <w:pPr>
              <w:rPr>
                <w:rFonts w:cs="Times New Roman"/>
                <w:b/>
                <w:szCs w:val="18"/>
              </w:rPr>
            </w:pPr>
            <w:r w:rsidRPr="008E1641">
              <w:rPr>
                <w:rFonts w:cs="Times New Roman"/>
                <w:b/>
                <w:szCs w:val="18"/>
              </w:rPr>
              <w:t>Community and Educational Partnerships</w:t>
            </w:r>
          </w:p>
          <w:p w:rsidR="00246795" w:rsidRPr="008E1641" w:rsidRDefault="00246795" w:rsidP="00A33893">
            <w:pPr>
              <w:rPr>
                <w:rFonts w:cs="Times New Roman"/>
                <w:i/>
                <w:szCs w:val="18"/>
              </w:rPr>
            </w:pPr>
            <w:r w:rsidRPr="008E1641">
              <w:rPr>
                <w:rFonts w:cs="Times New Roman"/>
                <w:i/>
                <w:szCs w:val="18"/>
              </w:rPr>
              <w:t>Community and educational partnerships. The LEA ensures that parents, students, academic and CTE teachers, faculty, administrators, career guidance and academic counselors, representatives of business (including small business) and industry, labor organizations, representatives of special populations, and other interested individuals are involved in the development, implementation, and evaluation of career and technical education programs. Sec 134(b) (5).</w:t>
            </w:r>
          </w:p>
        </w:tc>
        <w:tc>
          <w:tcPr>
            <w:tcW w:w="8366" w:type="dxa"/>
            <w:shd w:val="clear" w:color="auto" w:fill="auto"/>
          </w:tcPr>
          <w:p w:rsidR="00246795" w:rsidRPr="008E1641" w:rsidRDefault="00246795" w:rsidP="001001B0">
            <w:pPr>
              <w:pStyle w:val="Calibri"/>
            </w:pPr>
            <w:r w:rsidRPr="008E1641">
              <w:t>LEA Level</w:t>
            </w:r>
          </w:p>
          <w:p w:rsidR="00246795" w:rsidRPr="008E1641" w:rsidRDefault="00246795" w:rsidP="0041675D">
            <w:pPr>
              <w:pStyle w:val="Calibri"/>
              <w:rPr>
                <w:b w:val="0"/>
              </w:rPr>
            </w:pPr>
            <w:r w:rsidRPr="008E1641">
              <w:rPr>
                <w:rFonts w:ascii="Cambria Math" w:hAnsi="Cambria Math"/>
                <w:b w:val="0"/>
              </w:rPr>
              <w:t>⧠</w:t>
            </w:r>
            <w:r w:rsidRPr="008E1641">
              <w:rPr>
                <w:b w:val="0"/>
              </w:rPr>
              <w:t xml:space="preserve"> A. Membership roster list that reflects representatives from the program specific business, industry, and community agencies. (List must include the program specific committee title, member names, specific industry/business they are representing, and/or community agency they represent).</w:t>
            </w:r>
          </w:p>
          <w:p w:rsidR="00246795" w:rsidRPr="008E1641" w:rsidRDefault="00246795" w:rsidP="0041675D">
            <w:pPr>
              <w:pStyle w:val="Calibri"/>
              <w:rPr>
                <w:b w:val="0"/>
              </w:rPr>
            </w:pPr>
            <w:r w:rsidRPr="008E1641">
              <w:rPr>
                <w:rFonts w:ascii="Cambria Math" w:hAnsi="Cambria Math"/>
                <w:b w:val="0"/>
              </w:rPr>
              <w:t>⧠</w:t>
            </w:r>
            <w:r w:rsidRPr="008E1641">
              <w:rPr>
                <w:b w:val="0"/>
              </w:rPr>
              <w:t xml:space="preserve"> B. Advisory committee meeting minutes and copy of approved minutes from previous meetings. </w:t>
            </w:r>
          </w:p>
          <w:p w:rsidR="00246795" w:rsidRPr="008E1641" w:rsidRDefault="00246795" w:rsidP="0041675D">
            <w:pPr>
              <w:pStyle w:val="Calibri"/>
              <w:rPr>
                <w:b w:val="0"/>
              </w:rPr>
            </w:pPr>
            <w:r w:rsidRPr="008E1641">
              <w:rPr>
                <w:rFonts w:ascii="Cambria Math" w:hAnsi="Cambria Math"/>
                <w:b w:val="0"/>
              </w:rPr>
              <w:t>⧠</w:t>
            </w:r>
            <w:r w:rsidRPr="008E1641">
              <w:rPr>
                <w:b w:val="0"/>
              </w:rPr>
              <w:t xml:space="preserve"> C. Signed attendance sheet</w:t>
            </w:r>
            <w:r w:rsidR="000D3B6B" w:rsidRPr="008E1641">
              <w:rPr>
                <w:b w:val="0"/>
              </w:rPr>
              <w:t>(s)</w:t>
            </w:r>
            <w:r w:rsidRPr="008E1641">
              <w:rPr>
                <w:b w:val="0"/>
              </w:rPr>
              <w:t>.</w:t>
            </w:r>
          </w:p>
          <w:p w:rsidR="00246795" w:rsidRPr="008E1641" w:rsidRDefault="00246795" w:rsidP="001001B0">
            <w:pPr>
              <w:pStyle w:val="Calibri"/>
              <w:rPr>
                <w:b w:val="0"/>
              </w:rPr>
            </w:pPr>
          </w:p>
        </w:tc>
        <w:tc>
          <w:tcPr>
            <w:tcW w:w="3427" w:type="dxa"/>
            <w:shd w:val="clear" w:color="auto" w:fill="auto"/>
          </w:tcPr>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Compliant</w:t>
            </w:r>
          </w:p>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Action Plan Approved</w:t>
            </w:r>
          </w:p>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Evidence Needed</w:t>
            </w:r>
          </w:p>
          <w:p w:rsidR="00246795" w:rsidRPr="008E1641" w:rsidRDefault="00246795" w:rsidP="00EC6936">
            <w:pPr>
              <w:rPr>
                <w:rFonts w:cs="Cambria Math"/>
                <w:szCs w:val="18"/>
              </w:rPr>
            </w:pPr>
            <w:r w:rsidRPr="008E1641">
              <w:rPr>
                <w:rFonts w:ascii="Cambria Math" w:hAnsi="Cambria Math" w:cs="Cambria Math"/>
                <w:szCs w:val="18"/>
              </w:rPr>
              <w:t>⧠</w:t>
            </w:r>
            <w:r w:rsidRPr="008E1641">
              <w:rPr>
                <w:rFonts w:cs="Cambria Math"/>
                <w:szCs w:val="18"/>
              </w:rPr>
              <w:t xml:space="preserve"> Noncompliant</w:t>
            </w:r>
          </w:p>
          <w:p w:rsidR="00246795" w:rsidRPr="008E1641" w:rsidRDefault="00246795" w:rsidP="00EC6936">
            <w:pPr>
              <w:rPr>
                <w:rFonts w:ascii="Cambria Math" w:hAnsi="Cambria Math" w:cs="Cambria Math"/>
                <w:szCs w:val="18"/>
              </w:rPr>
            </w:pPr>
            <w:r w:rsidRPr="008E1641">
              <w:rPr>
                <w:rFonts w:ascii="Cambria Math" w:hAnsi="Cambria Math" w:cs="Cambria Math"/>
                <w:szCs w:val="18"/>
              </w:rPr>
              <w:t>⧠</w:t>
            </w:r>
            <w:r w:rsidRPr="008E1641">
              <w:rPr>
                <w:rFonts w:cs="Cambria Math"/>
                <w:szCs w:val="18"/>
              </w:rPr>
              <w:t xml:space="preserve"> N/A</w:t>
            </w:r>
          </w:p>
        </w:tc>
      </w:tr>
      <w:tr w:rsidR="006D7C6E" w:rsidRPr="008E1641" w:rsidTr="009A7DC2">
        <w:tc>
          <w:tcPr>
            <w:tcW w:w="630" w:type="dxa"/>
            <w:shd w:val="clear" w:color="auto" w:fill="F2F2F2" w:themeFill="background1" w:themeFillShade="F2"/>
          </w:tcPr>
          <w:p w:rsidR="006D7C6E" w:rsidRPr="008E1641" w:rsidRDefault="006D7C6E" w:rsidP="006D7C6E">
            <w:pPr>
              <w:rPr>
                <w:rFonts w:cs="Times New Roman"/>
                <w:szCs w:val="18"/>
              </w:rPr>
            </w:pPr>
            <w:bookmarkStart w:id="0" w:name="_GoBack"/>
            <w:r w:rsidRPr="008E1641">
              <w:rPr>
                <w:rFonts w:cs="Times New Roman"/>
                <w:szCs w:val="18"/>
              </w:rPr>
              <w:t>12.4</w:t>
            </w:r>
          </w:p>
        </w:tc>
        <w:tc>
          <w:tcPr>
            <w:tcW w:w="2880" w:type="dxa"/>
            <w:shd w:val="clear" w:color="auto" w:fill="F2F2F2" w:themeFill="background1" w:themeFillShade="F2"/>
          </w:tcPr>
          <w:p w:rsidR="006D7C6E" w:rsidRPr="008E1641" w:rsidRDefault="006D7C6E" w:rsidP="006D7C6E">
            <w:pPr>
              <w:rPr>
                <w:rFonts w:cs="Times New Roman"/>
                <w:b/>
                <w:szCs w:val="18"/>
              </w:rPr>
            </w:pPr>
            <w:r w:rsidRPr="008E1641">
              <w:rPr>
                <w:rFonts w:cs="Times New Roman"/>
                <w:b/>
                <w:szCs w:val="18"/>
              </w:rPr>
              <w:t xml:space="preserve">Special Populations </w:t>
            </w:r>
          </w:p>
          <w:p w:rsidR="006D7C6E" w:rsidRPr="008E1641" w:rsidRDefault="006D7C6E" w:rsidP="006D7C6E">
            <w:pPr>
              <w:rPr>
                <w:rFonts w:cs="Times New Roman"/>
                <w:i/>
                <w:szCs w:val="18"/>
              </w:rPr>
            </w:pPr>
            <w:r w:rsidRPr="008E1641">
              <w:rPr>
                <w:rFonts w:cs="Times New Roman"/>
                <w:i/>
                <w:szCs w:val="18"/>
              </w:rPr>
              <w:t xml:space="preserve">The LEA reviews CTE programs, and identifies and adopts strategies to overcome barriers that result in lowering rates of access to, or lowering success in the programs, for special populations; and </w:t>
            </w:r>
            <w:r w:rsidRPr="008E1641">
              <w:rPr>
                <w:rFonts w:cs="Times New Roman"/>
                <w:i/>
                <w:szCs w:val="18"/>
              </w:rPr>
              <w:lastRenderedPageBreak/>
              <w:t xml:space="preserve">provides programs that </w:t>
            </w:r>
            <w:proofErr w:type="spellStart"/>
            <w:r w:rsidRPr="008E1641">
              <w:rPr>
                <w:rFonts w:cs="Times New Roman"/>
                <w:i/>
                <w:szCs w:val="18"/>
              </w:rPr>
              <w:t>ar</w:t>
            </w:r>
            <w:proofErr w:type="spellEnd"/>
            <w:r w:rsidR="00F27FE1" w:rsidRPr="008E1641">
              <w:rPr>
                <w:rFonts w:cs="Times New Roman"/>
                <w:i/>
                <w:szCs w:val="18"/>
              </w:rPr>
              <w:t xml:space="preserve"> </w:t>
            </w:r>
            <w:r w:rsidRPr="008E1641">
              <w:rPr>
                <w:rFonts w:cs="Times New Roman"/>
                <w:i/>
                <w:szCs w:val="18"/>
              </w:rPr>
              <w:t>e designed to enable the special populations to meet the local adjusted levels of performance. Individuals who are members of special populations will not be discriminated against on the basis of their status as members of the special populations. Sec 134(b) (8&amp;9) (A-B).</w:t>
            </w:r>
          </w:p>
          <w:p w:rsidR="006D7C6E" w:rsidRPr="008E1641" w:rsidRDefault="006D7C6E" w:rsidP="006D7C6E">
            <w:pPr>
              <w:rPr>
                <w:rFonts w:cs="Times New Roman"/>
                <w:i/>
                <w:szCs w:val="18"/>
              </w:rPr>
            </w:pPr>
          </w:p>
          <w:p w:rsidR="006D7C6E" w:rsidRPr="008E1641" w:rsidRDefault="006D7C6E" w:rsidP="006D7C6E">
            <w:pPr>
              <w:rPr>
                <w:rFonts w:cs="Times New Roman"/>
                <w:i/>
                <w:szCs w:val="18"/>
              </w:rPr>
            </w:pPr>
            <w:r w:rsidRPr="008E1641">
              <w:rPr>
                <w:rFonts w:cs="Times New Roman"/>
                <w:i/>
                <w:szCs w:val="18"/>
              </w:rPr>
              <w:t>Special Populations as defined in Perkins Act of 2006: The Official Guide—</w:t>
            </w:r>
          </w:p>
          <w:p w:rsidR="006D7C6E" w:rsidRPr="008E1641" w:rsidRDefault="006D7C6E" w:rsidP="006D7C6E">
            <w:pPr>
              <w:pStyle w:val="ListParagraph"/>
              <w:numPr>
                <w:ilvl w:val="0"/>
                <w:numId w:val="16"/>
              </w:numPr>
              <w:ind w:left="346"/>
              <w:rPr>
                <w:rFonts w:cs="Times New Roman"/>
                <w:i/>
                <w:szCs w:val="18"/>
              </w:rPr>
            </w:pPr>
            <w:r w:rsidRPr="008E1641">
              <w:rPr>
                <w:rFonts w:cs="Times New Roman"/>
                <w:i/>
                <w:szCs w:val="18"/>
              </w:rPr>
              <w:t>Individuals with disabilities</w:t>
            </w:r>
          </w:p>
          <w:p w:rsidR="006D7C6E" w:rsidRPr="008E1641" w:rsidRDefault="006D7C6E" w:rsidP="006D7C6E">
            <w:pPr>
              <w:pStyle w:val="ListParagraph"/>
              <w:numPr>
                <w:ilvl w:val="0"/>
                <w:numId w:val="16"/>
              </w:numPr>
              <w:ind w:left="346"/>
              <w:rPr>
                <w:rFonts w:cs="Times New Roman"/>
                <w:i/>
                <w:szCs w:val="18"/>
              </w:rPr>
            </w:pPr>
            <w:r w:rsidRPr="008E1641">
              <w:rPr>
                <w:rFonts w:cs="Times New Roman"/>
                <w:i/>
                <w:szCs w:val="18"/>
              </w:rPr>
              <w:t>Individuals from economically disadvantaged families, including foster children</w:t>
            </w:r>
          </w:p>
          <w:p w:rsidR="006D7C6E" w:rsidRPr="008E1641" w:rsidRDefault="006D7C6E" w:rsidP="006D7C6E">
            <w:pPr>
              <w:pStyle w:val="ListParagraph"/>
              <w:numPr>
                <w:ilvl w:val="0"/>
                <w:numId w:val="16"/>
              </w:numPr>
              <w:ind w:left="346"/>
              <w:rPr>
                <w:rFonts w:cs="Times New Roman"/>
                <w:i/>
                <w:szCs w:val="18"/>
              </w:rPr>
            </w:pPr>
            <w:r w:rsidRPr="008E1641">
              <w:rPr>
                <w:rFonts w:cs="Times New Roman"/>
                <w:i/>
                <w:szCs w:val="18"/>
              </w:rPr>
              <w:t>Individuals preparing for non-traditional fields</w:t>
            </w:r>
          </w:p>
          <w:p w:rsidR="006D7C6E" w:rsidRPr="008E1641" w:rsidRDefault="006D7C6E" w:rsidP="006D7C6E">
            <w:pPr>
              <w:pStyle w:val="ListParagraph"/>
              <w:numPr>
                <w:ilvl w:val="0"/>
                <w:numId w:val="16"/>
              </w:numPr>
              <w:ind w:left="346"/>
              <w:rPr>
                <w:rFonts w:cs="Times New Roman"/>
                <w:i/>
                <w:szCs w:val="18"/>
              </w:rPr>
            </w:pPr>
            <w:r w:rsidRPr="008E1641">
              <w:rPr>
                <w:rFonts w:cs="Times New Roman"/>
                <w:i/>
                <w:szCs w:val="18"/>
              </w:rPr>
              <w:t>Single parents, including single pregnant women</w:t>
            </w:r>
          </w:p>
          <w:p w:rsidR="006D7C6E" w:rsidRPr="008E1641" w:rsidRDefault="006D7C6E" w:rsidP="006D7C6E">
            <w:pPr>
              <w:pStyle w:val="ListParagraph"/>
              <w:numPr>
                <w:ilvl w:val="0"/>
                <w:numId w:val="16"/>
              </w:numPr>
              <w:ind w:left="346"/>
              <w:rPr>
                <w:rFonts w:cs="Times New Roman"/>
                <w:i/>
                <w:szCs w:val="18"/>
              </w:rPr>
            </w:pPr>
            <w:r w:rsidRPr="008E1641">
              <w:rPr>
                <w:rFonts w:cs="Times New Roman"/>
                <w:i/>
                <w:szCs w:val="18"/>
              </w:rPr>
              <w:t>Displaced homemakers</w:t>
            </w:r>
          </w:p>
          <w:p w:rsidR="006D7C6E" w:rsidRPr="008E1641" w:rsidRDefault="006D7C6E" w:rsidP="006D7C6E">
            <w:pPr>
              <w:pStyle w:val="ListParagraph"/>
              <w:numPr>
                <w:ilvl w:val="0"/>
                <w:numId w:val="16"/>
              </w:numPr>
              <w:ind w:left="346"/>
              <w:rPr>
                <w:rFonts w:cs="Times New Roman"/>
                <w:i/>
                <w:szCs w:val="18"/>
              </w:rPr>
            </w:pPr>
            <w:r w:rsidRPr="008E1641">
              <w:rPr>
                <w:rFonts w:cs="Times New Roman"/>
                <w:i/>
                <w:szCs w:val="18"/>
              </w:rPr>
              <w:t>Individuals with limited English proficiency</w:t>
            </w:r>
          </w:p>
        </w:tc>
        <w:tc>
          <w:tcPr>
            <w:tcW w:w="8366" w:type="dxa"/>
            <w:shd w:val="clear" w:color="auto" w:fill="F2F2F2" w:themeFill="background1" w:themeFillShade="F2"/>
          </w:tcPr>
          <w:p w:rsidR="006D7C6E" w:rsidRPr="008E1641" w:rsidRDefault="006D7C6E" w:rsidP="006D7C6E">
            <w:pPr>
              <w:pStyle w:val="Calibri"/>
            </w:pPr>
            <w:r w:rsidRPr="008E1641">
              <w:lastRenderedPageBreak/>
              <w:t>LEA Level</w:t>
            </w:r>
          </w:p>
          <w:p w:rsidR="006D7C6E" w:rsidRPr="008E1641" w:rsidRDefault="006D7C6E" w:rsidP="006D7C6E">
            <w:pPr>
              <w:pStyle w:val="Calibri"/>
              <w:rPr>
                <w:b w:val="0"/>
                <w:strike/>
              </w:rPr>
            </w:pPr>
            <w:r w:rsidRPr="008E1641">
              <w:rPr>
                <w:rFonts w:ascii="Cambria Math" w:hAnsi="Cambria Math"/>
                <w:b w:val="0"/>
              </w:rPr>
              <w:t>⧠</w:t>
            </w:r>
            <w:r w:rsidRPr="008E1641">
              <w:rPr>
                <w:b w:val="0"/>
              </w:rPr>
              <w:t xml:space="preserve"> A. Copy of current year, class/course level CTE Enrollment Report. Report must identify gender, race, and special population.</w:t>
            </w:r>
          </w:p>
          <w:p w:rsidR="006D7C6E" w:rsidRPr="008E1641" w:rsidRDefault="006D7C6E" w:rsidP="006D7C6E">
            <w:pPr>
              <w:pStyle w:val="Calibri"/>
              <w:rPr>
                <w:b w:val="0"/>
              </w:rPr>
            </w:pPr>
            <w:r w:rsidRPr="008E1641">
              <w:rPr>
                <w:rFonts w:ascii="Cambria Math" w:hAnsi="Cambria Math"/>
                <w:b w:val="0"/>
              </w:rPr>
              <w:t>⧠</w:t>
            </w:r>
            <w:r w:rsidRPr="008E1641">
              <w:rPr>
                <w:b w:val="0"/>
              </w:rPr>
              <w:t xml:space="preserve"> B. Examples of evidence include: tutorial services; language assistance; 504 plans; IEPs; or achievement evaluations for special population students (LEP, foster children, individuals preparing for non-traditional fields, etc.).</w:t>
            </w:r>
          </w:p>
          <w:p w:rsidR="006D7C6E" w:rsidRPr="008E1641" w:rsidRDefault="006D7C6E" w:rsidP="006D7C6E">
            <w:pPr>
              <w:pStyle w:val="Calibri"/>
              <w:rPr>
                <w:b w:val="0"/>
              </w:rPr>
            </w:pPr>
            <w:r w:rsidRPr="008E1641">
              <w:rPr>
                <w:rFonts w:ascii="Cambria Math" w:hAnsi="Cambria Math"/>
                <w:b w:val="0"/>
              </w:rPr>
              <w:lastRenderedPageBreak/>
              <w:t>⧠</w:t>
            </w:r>
            <w:r w:rsidRPr="008E1641">
              <w:rPr>
                <w:b w:val="0"/>
              </w:rPr>
              <w:t xml:space="preserve"> C. Evidence of how the LEA is addressing barriers to enrollment in CTE courses, for special populations. May include photographic evidence of modifications, ensuring ADA accommodations are met, (lab stations, equipment adaptations, classroom accessibility, etc.); documentation of availability of supportive personnel; instructional aids and devices; samples of modified curriculum (e.g., ELLs, SPED);</w:t>
            </w:r>
            <w:r w:rsidRPr="008E1641">
              <w:rPr>
                <w:b w:val="0"/>
                <w:color w:val="FF0000"/>
              </w:rPr>
              <w:t xml:space="preserve"> </w:t>
            </w:r>
            <w:r w:rsidRPr="008E1641">
              <w:rPr>
                <w:b w:val="0"/>
              </w:rPr>
              <w:t>samples of targeted announcements to students/families; copies of transition plans; samples of targeted career guidance; documentation of internship/work experience; documentation of targeted professional development, etc.</w:t>
            </w:r>
          </w:p>
        </w:tc>
        <w:tc>
          <w:tcPr>
            <w:tcW w:w="3427" w:type="dxa"/>
            <w:shd w:val="clear" w:color="auto" w:fill="F2F2F2" w:themeFill="background1" w:themeFillShade="F2"/>
          </w:tcPr>
          <w:p w:rsidR="006D7C6E" w:rsidRPr="008E1641" w:rsidRDefault="006D7C6E" w:rsidP="006D7C6E">
            <w:pPr>
              <w:rPr>
                <w:rFonts w:cs="Cambria Math"/>
                <w:szCs w:val="18"/>
              </w:rPr>
            </w:pPr>
            <w:r w:rsidRPr="008E1641">
              <w:rPr>
                <w:rFonts w:ascii="Cambria Math" w:hAnsi="Cambria Math" w:cs="Cambria Math"/>
                <w:szCs w:val="18"/>
              </w:rPr>
              <w:lastRenderedPageBreak/>
              <w:t>⧠</w:t>
            </w:r>
            <w:r w:rsidRPr="008E1641">
              <w:rPr>
                <w:rFonts w:cs="Cambria Math"/>
                <w:szCs w:val="18"/>
              </w:rPr>
              <w:t xml:space="preserve"> Compliant</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Action Plan Approved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Evidence Needed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Noncompliant</w:t>
            </w:r>
          </w:p>
          <w:p w:rsidR="006D7C6E" w:rsidRPr="008E1641" w:rsidRDefault="006D7C6E" w:rsidP="006D7C6E">
            <w:pPr>
              <w:rPr>
                <w:rFonts w:ascii="Cambria Math" w:hAnsi="Cambria Math" w:cs="Cambria Math"/>
                <w:szCs w:val="18"/>
              </w:rPr>
            </w:pPr>
            <w:r w:rsidRPr="008E1641">
              <w:rPr>
                <w:rFonts w:ascii="Cambria Math" w:hAnsi="Cambria Math" w:cs="Cambria Math"/>
                <w:szCs w:val="18"/>
              </w:rPr>
              <w:t>⧠</w:t>
            </w:r>
            <w:r w:rsidRPr="008E1641">
              <w:rPr>
                <w:rFonts w:cs="Cambria Math"/>
                <w:szCs w:val="18"/>
              </w:rPr>
              <w:t xml:space="preserve"> N/A</w:t>
            </w:r>
          </w:p>
        </w:tc>
      </w:tr>
      <w:bookmarkEnd w:id="0"/>
      <w:tr w:rsidR="006D7C6E" w:rsidRPr="008E1641" w:rsidTr="00246795">
        <w:tc>
          <w:tcPr>
            <w:tcW w:w="630" w:type="dxa"/>
            <w:shd w:val="clear" w:color="auto" w:fill="auto"/>
          </w:tcPr>
          <w:p w:rsidR="006D7C6E" w:rsidRPr="008E1641" w:rsidRDefault="006D7C6E" w:rsidP="006D7C6E">
            <w:pPr>
              <w:rPr>
                <w:rFonts w:cs="Times New Roman"/>
                <w:szCs w:val="18"/>
              </w:rPr>
            </w:pPr>
            <w:r w:rsidRPr="008E1641">
              <w:rPr>
                <w:rFonts w:cs="Times New Roman"/>
                <w:szCs w:val="18"/>
              </w:rPr>
              <w:t>12.5</w:t>
            </w:r>
          </w:p>
        </w:tc>
        <w:tc>
          <w:tcPr>
            <w:tcW w:w="2880" w:type="dxa"/>
            <w:shd w:val="clear" w:color="auto" w:fill="auto"/>
          </w:tcPr>
          <w:p w:rsidR="006D7C6E" w:rsidRPr="008E1641" w:rsidRDefault="006D7C6E" w:rsidP="006D7C6E">
            <w:pPr>
              <w:rPr>
                <w:rFonts w:cs="Times New Roman"/>
                <w:b/>
                <w:szCs w:val="18"/>
              </w:rPr>
            </w:pPr>
            <w:r w:rsidRPr="008E1641">
              <w:rPr>
                <w:rFonts w:cs="Times New Roman"/>
                <w:b/>
                <w:szCs w:val="18"/>
              </w:rPr>
              <w:t>Professional Development / CTE Personnel</w:t>
            </w:r>
          </w:p>
          <w:p w:rsidR="006D7C6E" w:rsidRPr="008E1641" w:rsidRDefault="006D7C6E" w:rsidP="006D7C6E">
            <w:pPr>
              <w:rPr>
                <w:rFonts w:cs="Times New Roman"/>
                <w:i/>
                <w:szCs w:val="18"/>
              </w:rPr>
            </w:pPr>
            <w:r w:rsidRPr="008E1641">
              <w:rPr>
                <w:rFonts w:cs="Times New Roman"/>
                <w:i/>
                <w:szCs w:val="18"/>
              </w:rPr>
              <w:t>LEA provides professional development programs to teachers, faculty, administrators, and career guidance and academic counselors who are involved in integrated CTE programs and supports education programs for teachers of CTE in public schools and other public school personnel who are involved in the direct delivery of educational services to CTE students, to ensure that such teachers and personnel stay current with all aspects of an industry. Sec 135(5</w:t>
            </w:r>
            <w:proofErr w:type="gramStart"/>
            <w:r w:rsidRPr="008E1641">
              <w:rPr>
                <w:rFonts w:cs="Times New Roman"/>
                <w:i/>
                <w:szCs w:val="18"/>
              </w:rPr>
              <w:t>)(</w:t>
            </w:r>
            <w:proofErr w:type="gramEnd"/>
            <w:r w:rsidRPr="008E1641">
              <w:rPr>
                <w:rFonts w:cs="Times New Roman"/>
                <w:i/>
                <w:szCs w:val="18"/>
              </w:rPr>
              <w:t>A-B).</w:t>
            </w:r>
          </w:p>
        </w:tc>
        <w:tc>
          <w:tcPr>
            <w:tcW w:w="8366" w:type="dxa"/>
            <w:shd w:val="clear" w:color="auto" w:fill="auto"/>
          </w:tcPr>
          <w:p w:rsidR="006D7C6E" w:rsidRPr="008E1641" w:rsidRDefault="006D7C6E" w:rsidP="006D7C6E">
            <w:pPr>
              <w:pStyle w:val="Calibri"/>
            </w:pPr>
            <w:r w:rsidRPr="008E1641">
              <w:t>LEA Level</w:t>
            </w:r>
          </w:p>
          <w:p w:rsidR="006D7C6E" w:rsidRPr="008E1641" w:rsidRDefault="006D7C6E" w:rsidP="006D7C6E">
            <w:pPr>
              <w:pStyle w:val="Calibri"/>
              <w:rPr>
                <w:b w:val="0"/>
              </w:rPr>
            </w:pPr>
            <w:r w:rsidRPr="008E1641">
              <w:rPr>
                <w:rFonts w:ascii="Cambria Math" w:hAnsi="Cambria Math"/>
                <w:b w:val="0"/>
              </w:rPr>
              <w:t>⧠</w:t>
            </w:r>
            <w:r w:rsidRPr="008E1641">
              <w:rPr>
                <w:b w:val="0"/>
              </w:rPr>
              <w:t xml:space="preserve"> A. List of all CTE staff (teachers, administrators and counselors) involved in professional development opportunities (list must include names of CTE teachers, teacher assignment(s), date(s) of the PD, and conference/workshop titles).</w:t>
            </w:r>
          </w:p>
          <w:p w:rsidR="006D7C6E" w:rsidRPr="008E1641" w:rsidRDefault="006D7C6E" w:rsidP="006D7C6E">
            <w:pPr>
              <w:rPr>
                <w:b/>
              </w:rPr>
            </w:pPr>
            <w:r w:rsidRPr="008E1641">
              <w:rPr>
                <w:rFonts w:ascii="Cambria Math" w:hAnsi="Cambria Math"/>
              </w:rPr>
              <w:t>⧠</w:t>
            </w:r>
            <w:r w:rsidRPr="008E1641">
              <w:t xml:space="preserve"> B. Copies of Professional Growth Plans for all instructors on conditional or probationary teaching certificates.</w:t>
            </w:r>
          </w:p>
          <w:p w:rsidR="006D7C6E" w:rsidRPr="008E1641" w:rsidRDefault="006D7C6E" w:rsidP="006D7C6E">
            <w:pPr>
              <w:pStyle w:val="Calibri"/>
              <w:rPr>
                <w:b w:val="0"/>
              </w:rPr>
            </w:pPr>
          </w:p>
        </w:tc>
        <w:tc>
          <w:tcPr>
            <w:tcW w:w="3427" w:type="dxa"/>
            <w:shd w:val="clear" w:color="auto" w:fill="auto"/>
          </w:tcPr>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Compliant</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Action Plan Approved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Evidence Needed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Noncompliant</w:t>
            </w:r>
          </w:p>
          <w:p w:rsidR="006D7C6E" w:rsidRPr="008E1641" w:rsidRDefault="006D7C6E" w:rsidP="006D7C6E">
            <w:pPr>
              <w:rPr>
                <w:rFonts w:ascii="Cambria Math" w:hAnsi="Cambria Math" w:cs="Cambria Math"/>
                <w:szCs w:val="18"/>
              </w:rPr>
            </w:pPr>
            <w:r w:rsidRPr="008E1641">
              <w:rPr>
                <w:rFonts w:ascii="Cambria Math" w:hAnsi="Cambria Math" w:cs="Cambria Math"/>
                <w:szCs w:val="18"/>
              </w:rPr>
              <w:t>⧠</w:t>
            </w:r>
            <w:r w:rsidRPr="008E1641">
              <w:rPr>
                <w:rFonts w:cs="Cambria Math"/>
                <w:szCs w:val="18"/>
              </w:rPr>
              <w:t xml:space="preserve"> N/A</w:t>
            </w:r>
          </w:p>
        </w:tc>
      </w:tr>
      <w:tr w:rsidR="006D7C6E" w:rsidRPr="008E1641" w:rsidTr="009A7DC2">
        <w:tc>
          <w:tcPr>
            <w:tcW w:w="630" w:type="dxa"/>
            <w:shd w:val="clear" w:color="auto" w:fill="F2F2F2" w:themeFill="background1" w:themeFillShade="F2"/>
          </w:tcPr>
          <w:p w:rsidR="006D7C6E" w:rsidRPr="008E1641" w:rsidRDefault="006D7C6E" w:rsidP="006D7C6E">
            <w:pPr>
              <w:rPr>
                <w:rFonts w:cs="Times New Roman"/>
                <w:szCs w:val="18"/>
              </w:rPr>
            </w:pPr>
            <w:r w:rsidRPr="008E1641">
              <w:rPr>
                <w:rFonts w:cs="Times New Roman"/>
                <w:szCs w:val="18"/>
              </w:rPr>
              <w:t>12.6</w:t>
            </w:r>
          </w:p>
        </w:tc>
        <w:tc>
          <w:tcPr>
            <w:tcW w:w="2880" w:type="dxa"/>
            <w:shd w:val="clear" w:color="auto" w:fill="F2F2F2" w:themeFill="background1" w:themeFillShade="F2"/>
          </w:tcPr>
          <w:p w:rsidR="006D7C6E" w:rsidRPr="008E1641" w:rsidRDefault="006D7C6E" w:rsidP="006D7C6E">
            <w:pPr>
              <w:rPr>
                <w:rFonts w:cs="Times New Roman"/>
                <w:b/>
                <w:szCs w:val="18"/>
              </w:rPr>
            </w:pPr>
            <w:r w:rsidRPr="008E1641">
              <w:rPr>
                <w:rFonts w:cs="Times New Roman"/>
                <w:b/>
                <w:szCs w:val="18"/>
              </w:rPr>
              <w:t>Leadership and Employability</w:t>
            </w:r>
          </w:p>
          <w:p w:rsidR="006D7C6E" w:rsidRPr="008E1641" w:rsidRDefault="006D7C6E" w:rsidP="006D7C6E">
            <w:pPr>
              <w:rPr>
                <w:rFonts w:cs="Times New Roman"/>
                <w:i/>
                <w:szCs w:val="18"/>
              </w:rPr>
            </w:pPr>
            <w:r w:rsidRPr="008E1641">
              <w:rPr>
                <w:rFonts w:cs="Times New Roman"/>
                <w:i/>
                <w:szCs w:val="18"/>
              </w:rPr>
              <w:t>LEA provides students with leadership skill development opportunities available at the local, state, national, and international level. Sec 124 and Sec 135(c).</w:t>
            </w:r>
          </w:p>
        </w:tc>
        <w:tc>
          <w:tcPr>
            <w:tcW w:w="8366" w:type="dxa"/>
            <w:shd w:val="clear" w:color="auto" w:fill="F2F2F2" w:themeFill="background1" w:themeFillShade="F2"/>
          </w:tcPr>
          <w:p w:rsidR="006D7C6E" w:rsidRPr="008E1641" w:rsidRDefault="006D7C6E" w:rsidP="006D7C6E">
            <w:pPr>
              <w:pStyle w:val="Calibri"/>
            </w:pPr>
            <w:r w:rsidRPr="008E1641">
              <w:t>LEA Level</w:t>
            </w:r>
          </w:p>
          <w:p w:rsidR="006D7C6E" w:rsidRPr="008E1641" w:rsidRDefault="006D7C6E" w:rsidP="006D7C6E">
            <w:pPr>
              <w:pStyle w:val="Calibri"/>
              <w:rPr>
                <w:b w:val="0"/>
              </w:rPr>
            </w:pPr>
            <w:r w:rsidRPr="008E1641">
              <w:rPr>
                <w:rFonts w:ascii="Cambria Math" w:hAnsi="Cambria Math"/>
                <w:b w:val="0"/>
              </w:rPr>
              <w:t>⧠</w:t>
            </w:r>
            <w:r w:rsidRPr="008E1641">
              <w:rPr>
                <w:b w:val="0"/>
              </w:rPr>
              <w:t xml:space="preserve"> A. List of student leadership opportunities (CTSOs &amp; Equivalents) by program area available in the school.</w:t>
            </w:r>
          </w:p>
          <w:p w:rsidR="006D7C6E" w:rsidRPr="008E1641" w:rsidRDefault="006D7C6E" w:rsidP="006D7C6E">
            <w:pPr>
              <w:pStyle w:val="Calibri"/>
            </w:pPr>
            <w:r w:rsidRPr="008E1641">
              <w:rPr>
                <w:rFonts w:ascii="Cambria Math" w:hAnsi="Cambria Math"/>
                <w:b w:val="0"/>
              </w:rPr>
              <w:t>⧠</w:t>
            </w:r>
            <w:r w:rsidRPr="008E1641">
              <w:rPr>
                <w:b w:val="0"/>
              </w:rPr>
              <w:t xml:space="preserve"> B. Copy of affiliated membership rosters or a program of work for CTSO-equivalent leadership (aligned with the content standards of the course[s]).</w:t>
            </w:r>
          </w:p>
        </w:tc>
        <w:tc>
          <w:tcPr>
            <w:tcW w:w="3427" w:type="dxa"/>
            <w:shd w:val="clear" w:color="auto" w:fill="F2F2F2" w:themeFill="background1" w:themeFillShade="F2"/>
          </w:tcPr>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Compliant</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Action Plan Approved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Evidence Needed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Noncompliant</w:t>
            </w:r>
          </w:p>
          <w:p w:rsidR="006D7C6E" w:rsidRPr="008E1641" w:rsidRDefault="006D7C6E" w:rsidP="006D7C6E">
            <w:pPr>
              <w:rPr>
                <w:rFonts w:ascii="Cambria Math" w:hAnsi="Cambria Math" w:cs="Cambria Math"/>
                <w:szCs w:val="18"/>
              </w:rPr>
            </w:pPr>
            <w:r w:rsidRPr="008E1641">
              <w:rPr>
                <w:rFonts w:ascii="Cambria Math" w:hAnsi="Cambria Math" w:cs="Cambria Math"/>
                <w:szCs w:val="18"/>
              </w:rPr>
              <w:t>⧠</w:t>
            </w:r>
            <w:r w:rsidRPr="008E1641">
              <w:rPr>
                <w:rFonts w:cs="Cambria Math"/>
                <w:szCs w:val="18"/>
              </w:rPr>
              <w:t xml:space="preserve"> N/A</w:t>
            </w:r>
          </w:p>
        </w:tc>
      </w:tr>
      <w:tr w:rsidR="006D7C6E" w:rsidRPr="008E1641" w:rsidTr="00246795">
        <w:tc>
          <w:tcPr>
            <w:tcW w:w="630" w:type="dxa"/>
            <w:shd w:val="clear" w:color="auto" w:fill="auto"/>
          </w:tcPr>
          <w:p w:rsidR="006D7C6E" w:rsidRPr="008E1641" w:rsidRDefault="006D7C6E" w:rsidP="006D7C6E">
            <w:pPr>
              <w:rPr>
                <w:rFonts w:cs="Times New Roman"/>
                <w:szCs w:val="18"/>
              </w:rPr>
            </w:pPr>
            <w:r w:rsidRPr="008E1641">
              <w:rPr>
                <w:rFonts w:cs="Times New Roman"/>
                <w:szCs w:val="18"/>
              </w:rPr>
              <w:lastRenderedPageBreak/>
              <w:t>12.7</w:t>
            </w:r>
          </w:p>
        </w:tc>
        <w:tc>
          <w:tcPr>
            <w:tcW w:w="2880" w:type="dxa"/>
            <w:shd w:val="clear" w:color="auto" w:fill="auto"/>
          </w:tcPr>
          <w:p w:rsidR="006D7C6E" w:rsidRPr="008E1641" w:rsidRDefault="006D7C6E" w:rsidP="006D7C6E">
            <w:pPr>
              <w:rPr>
                <w:rFonts w:cs="Times New Roman"/>
                <w:b/>
                <w:szCs w:val="18"/>
              </w:rPr>
            </w:pPr>
            <w:r w:rsidRPr="008E1641">
              <w:rPr>
                <w:rFonts w:cs="Times New Roman"/>
                <w:b/>
                <w:szCs w:val="18"/>
              </w:rPr>
              <w:t>Links to Post-Secondary Opportunities</w:t>
            </w:r>
          </w:p>
          <w:p w:rsidR="006D7C6E" w:rsidRPr="008E1641" w:rsidRDefault="006D7C6E" w:rsidP="006D7C6E">
            <w:pPr>
              <w:rPr>
                <w:rFonts w:cs="Times New Roman"/>
                <w:i/>
                <w:szCs w:val="18"/>
              </w:rPr>
            </w:pPr>
            <w:r w:rsidRPr="008E1641">
              <w:rPr>
                <w:rFonts w:cs="Times New Roman"/>
                <w:i/>
                <w:szCs w:val="18"/>
              </w:rPr>
              <w:t>LEA develops and implements a Program of Study that includes academic standards and relevant CTE content in a coordinated, non-duplicated sequence of courses from secondary to postsecondary.</w:t>
            </w:r>
          </w:p>
          <w:p w:rsidR="006D7C6E" w:rsidRPr="008E1641" w:rsidRDefault="006D7C6E" w:rsidP="006D7C6E">
            <w:pPr>
              <w:rPr>
                <w:rFonts w:cs="Times New Roman"/>
                <w:i/>
                <w:szCs w:val="18"/>
              </w:rPr>
            </w:pPr>
          </w:p>
          <w:p w:rsidR="006D7C6E" w:rsidRPr="008E1641" w:rsidRDefault="006D7C6E" w:rsidP="006D7C6E">
            <w:pPr>
              <w:rPr>
                <w:rFonts w:cs="Times New Roman"/>
                <w:i/>
                <w:szCs w:val="18"/>
              </w:rPr>
            </w:pPr>
            <w:r w:rsidRPr="008E1641">
              <w:rPr>
                <w:rFonts w:cs="Times New Roman"/>
                <w:i/>
                <w:szCs w:val="18"/>
              </w:rPr>
              <w:t>Leads to an industry-recognized credential or certificate, employment, or degree.</w:t>
            </w:r>
          </w:p>
          <w:p w:rsidR="006D7C6E" w:rsidRPr="008E1641" w:rsidRDefault="006D7C6E" w:rsidP="006D7C6E">
            <w:pPr>
              <w:rPr>
                <w:rFonts w:cs="Times New Roman"/>
                <w:i/>
                <w:szCs w:val="18"/>
              </w:rPr>
            </w:pPr>
          </w:p>
          <w:p w:rsidR="006D7C6E" w:rsidRPr="008E1641" w:rsidRDefault="006D7C6E" w:rsidP="006D7C6E">
            <w:pPr>
              <w:rPr>
                <w:rFonts w:cs="Times New Roman"/>
                <w:i/>
                <w:szCs w:val="18"/>
              </w:rPr>
            </w:pPr>
            <w:r w:rsidRPr="008E1641">
              <w:rPr>
                <w:rFonts w:cs="Times New Roman"/>
                <w:i/>
                <w:szCs w:val="18"/>
              </w:rPr>
              <w:t>May include opportunities to participate in dual or concurrent enrollment programs. Sec 122(c</w:t>
            </w:r>
            <w:proofErr w:type="gramStart"/>
            <w:r w:rsidRPr="008E1641">
              <w:rPr>
                <w:rFonts w:cs="Times New Roman"/>
                <w:i/>
                <w:szCs w:val="18"/>
              </w:rPr>
              <w:t>)(</w:t>
            </w:r>
            <w:proofErr w:type="gramEnd"/>
            <w:r w:rsidRPr="008E1641">
              <w:rPr>
                <w:rFonts w:cs="Times New Roman"/>
                <w:i/>
                <w:szCs w:val="18"/>
              </w:rPr>
              <w:t>1)(A)(</w:t>
            </w:r>
            <w:proofErr w:type="spellStart"/>
            <w:r w:rsidRPr="008E1641">
              <w:rPr>
                <w:rFonts w:cs="Times New Roman"/>
                <w:i/>
                <w:szCs w:val="18"/>
              </w:rPr>
              <w:t>i</w:t>
            </w:r>
            <w:proofErr w:type="spellEnd"/>
            <w:r w:rsidRPr="008E1641">
              <w:rPr>
                <w:rFonts w:cs="Times New Roman"/>
                <w:i/>
                <w:szCs w:val="18"/>
              </w:rPr>
              <w:t>-iv).</w:t>
            </w:r>
          </w:p>
        </w:tc>
        <w:tc>
          <w:tcPr>
            <w:tcW w:w="8366" w:type="dxa"/>
            <w:shd w:val="clear" w:color="auto" w:fill="auto"/>
          </w:tcPr>
          <w:p w:rsidR="006D7C6E" w:rsidRPr="008E1641" w:rsidRDefault="006D7C6E" w:rsidP="006D7C6E">
            <w:pPr>
              <w:pStyle w:val="Calibri"/>
            </w:pPr>
            <w:r w:rsidRPr="008E1641">
              <w:t>LEA Level</w:t>
            </w:r>
          </w:p>
          <w:p w:rsidR="006D7C6E" w:rsidRPr="008E1641" w:rsidRDefault="006D7C6E" w:rsidP="006D7C6E">
            <w:pPr>
              <w:pStyle w:val="Calibri"/>
              <w:rPr>
                <w:b w:val="0"/>
              </w:rPr>
            </w:pPr>
            <w:r w:rsidRPr="008E1641">
              <w:rPr>
                <w:rFonts w:ascii="Cambria Math" w:hAnsi="Cambria Math"/>
                <w:b w:val="0"/>
              </w:rPr>
              <w:t>⧠</w:t>
            </w:r>
            <w:r w:rsidRPr="008E1641">
              <w:rPr>
                <w:b w:val="0"/>
              </w:rPr>
              <w:t xml:space="preserve"> A. One signed Program of Study Assurance Checklist form.</w:t>
            </w:r>
          </w:p>
          <w:p w:rsidR="006D7C6E" w:rsidRPr="008E1641" w:rsidRDefault="006D7C6E" w:rsidP="006D7C6E">
            <w:pPr>
              <w:pStyle w:val="Calibri"/>
              <w:rPr>
                <w:b w:val="0"/>
              </w:rPr>
            </w:pPr>
            <w:r w:rsidRPr="008E1641">
              <w:rPr>
                <w:rFonts w:ascii="Cambria Math" w:hAnsi="Cambria Math"/>
                <w:b w:val="0"/>
              </w:rPr>
              <w:t>⧠</w:t>
            </w:r>
            <w:r w:rsidRPr="008E1641">
              <w:rPr>
                <w:b w:val="0"/>
              </w:rPr>
              <w:t xml:space="preserve"> B. Completed Program of Study template aligned with the Perkins    5-Year Application Plan (on page 9).</w:t>
            </w:r>
          </w:p>
          <w:p w:rsidR="006D7C6E" w:rsidRPr="008E1641" w:rsidRDefault="006D7C6E" w:rsidP="006D7C6E">
            <w:pPr>
              <w:pStyle w:val="Calibri"/>
              <w:rPr>
                <w:b w:val="0"/>
                <w:strike/>
              </w:rPr>
            </w:pPr>
            <w:r w:rsidRPr="008E1641">
              <w:rPr>
                <w:rFonts w:ascii="Cambria Math" w:hAnsi="Cambria Math"/>
                <w:b w:val="0"/>
              </w:rPr>
              <w:t>⧠</w:t>
            </w:r>
            <w:r w:rsidRPr="008E1641">
              <w:rPr>
                <w:b w:val="0"/>
              </w:rPr>
              <w:t xml:space="preserve">. C. Evidence that the courses within the identified Program of Study (career cluster and pathways) </w:t>
            </w:r>
          </w:p>
          <w:p w:rsidR="006D7C6E" w:rsidRPr="008E1641" w:rsidRDefault="006D7C6E" w:rsidP="006D7C6E">
            <w:pPr>
              <w:pStyle w:val="Calibri"/>
              <w:rPr>
                <w:b w:val="0"/>
              </w:rPr>
            </w:pPr>
            <w:proofErr w:type="gramStart"/>
            <w:r w:rsidRPr="008E1641">
              <w:rPr>
                <w:b w:val="0"/>
              </w:rPr>
              <w:t>have</w:t>
            </w:r>
            <w:proofErr w:type="gramEnd"/>
            <w:r w:rsidRPr="008E1641">
              <w:rPr>
                <w:b w:val="0"/>
              </w:rPr>
              <w:t xml:space="preserve"> been approved by OSPI (e.g., the identified course approvals).</w:t>
            </w:r>
          </w:p>
          <w:p w:rsidR="006D7C6E" w:rsidRPr="008E1641" w:rsidRDefault="006D7C6E" w:rsidP="006D7C6E">
            <w:pPr>
              <w:pStyle w:val="Calibri"/>
            </w:pPr>
            <w:r w:rsidRPr="008E1641">
              <w:rPr>
                <w:rFonts w:ascii="Cambria Math" w:hAnsi="Cambria Math"/>
                <w:b w:val="0"/>
              </w:rPr>
              <w:t>⧠</w:t>
            </w:r>
            <w:r w:rsidRPr="008E1641">
              <w:rPr>
                <w:b w:val="0"/>
              </w:rPr>
              <w:t xml:space="preserve"> D. Evidence that the instructor holds a current CTE certificate to teach the identified classes as referenced on the LEA’s Program of Study (e.g. teacher certification with V-Code).</w:t>
            </w:r>
          </w:p>
        </w:tc>
        <w:tc>
          <w:tcPr>
            <w:tcW w:w="3427" w:type="dxa"/>
            <w:shd w:val="clear" w:color="auto" w:fill="auto"/>
          </w:tcPr>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Compliant</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Action Plan Approved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Evidence Needed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Noncompliant</w:t>
            </w:r>
          </w:p>
          <w:p w:rsidR="006D7C6E" w:rsidRPr="008E1641" w:rsidRDefault="006D7C6E" w:rsidP="006D7C6E">
            <w:pPr>
              <w:rPr>
                <w:rFonts w:ascii="Cambria Math" w:hAnsi="Cambria Math" w:cs="Cambria Math"/>
                <w:szCs w:val="18"/>
              </w:rPr>
            </w:pPr>
            <w:r w:rsidRPr="008E1641">
              <w:rPr>
                <w:rFonts w:ascii="Cambria Math" w:hAnsi="Cambria Math" w:cs="Cambria Math"/>
                <w:szCs w:val="18"/>
              </w:rPr>
              <w:t>⧠</w:t>
            </w:r>
            <w:r w:rsidRPr="008E1641">
              <w:rPr>
                <w:rFonts w:cs="Cambria Math"/>
                <w:szCs w:val="18"/>
              </w:rPr>
              <w:t xml:space="preserve"> N/A</w:t>
            </w:r>
          </w:p>
        </w:tc>
      </w:tr>
      <w:tr w:rsidR="006D7C6E" w:rsidRPr="008E1641" w:rsidTr="009A7DC2">
        <w:tc>
          <w:tcPr>
            <w:tcW w:w="630" w:type="dxa"/>
            <w:shd w:val="clear" w:color="auto" w:fill="F2F2F2" w:themeFill="background1" w:themeFillShade="F2"/>
          </w:tcPr>
          <w:p w:rsidR="006D7C6E" w:rsidRPr="008E1641" w:rsidRDefault="006D7C6E" w:rsidP="006D7C6E">
            <w:pPr>
              <w:rPr>
                <w:rFonts w:cs="Times New Roman"/>
                <w:szCs w:val="18"/>
              </w:rPr>
            </w:pPr>
            <w:r w:rsidRPr="008E1641">
              <w:rPr>
                <w:rFonts w:cs="Times New Roman"/>
                <w:szCs w:val="18"/>
              </w:rPr>
              <w:t>12.8</w:t>
            </w:r>
          </w:p>
        </w:tc>
        <w:tc>
          <w:tcPr>
            <w:tcW w:w="2880" w:type="dxa"/>
            <w:shd w:val="clear" w:color="auto" w:fill="F2F2F2" w:themeFill="background1" w:themeFillShade="F2"/>
          </w:tcPr>
          <w:p w:rsidR="006D7C6E" w:rsidRPr="008E1641" w:rsidRDefault="006D7C6E" w:rsidP="006D7C6E">
            <w:pPr>
              <w:rPr>
                <w:rFonts w:cs="Times New Roman"/>
                <w:b/>
                <w:szCs w:val="18"/>
              </w:rPr>
            </w:pPr>
            <w:r w:rsidRPr="008E1641">
              <w:rPr>
                <w:rFonts w:cs="Times New Roman"/>
                <w:b/>
                <w:szCs w:val="18"/>
              </w:rPr>
              <w:t xml:space="preserve">Extended Learning Opportunities </w:t>
            </w:r>
          </w:p>
          <w:p w:rsidR="006D7C6E" w:rsidRPr="008E1641" w:rsidRDefault="006D7C6E" w:rsidP="006D7C6E">
            <w:pPr>
              <w:rPr>
                <w:rFonts w:cs="Times New Roman"/>
                <w:i/>
                <w:szCs w:val="18"/>
              </w:rPr>
            </w:pPr>
            <w:r w:rsidRPr="008E1641">
              <w:rPr>
                <w:rFonts w:cs="Times New Roman"/>
                <w:i/>
                <w:szCs w:val="18"/>
              </w:rPr>
              <w:t>LEA provides students with strong experience in and understanding of all aspects of an industry, which may include work-based learning experiences. Sec 135(b</w:t>
            </w:r>
            <w:proofErr w:type="gramStart"/>
            <w:r w:rsidRPr="008E1641">
              <w:rPr>
                <w:rFonts w:cs="Times New Roman"/>
                <w:i/>
                <w:szCs w:val="18"/>
              </w:rPr>
              <w:t>)(</w:t>
            </w:r>
            <w:proofErr w:type="gramEnd"/>
            <w:r w:rsidRPr="008E1641">
              <w:rPr>
                <w:rFonts w:cs="Times New Roman"/>
                <w:i/>
                <w:szCs w:val="18"/>
              </w:rPr>
              <w:t>3).</w:t>
            </w:r>
          </w:p>
        </w:tc>
        <w:tc>
          <w:tcPr>
            <w:tcW w:w="8366" w:type="dxa"/>
            <w:shd w:val="clear" w:color="auto" w:fill="F2F2F2" w:themeFill="background1" w:themeFillShade="F2"/>
          </w:tcPr>
          <w:p w:rsidR="006D7C6E" w:rsidRPr="008E1641" w:rsidRDefault="006D7C6E" w:rsidP="006D7C6E">
            <w:pPr>
              <w:pStyle w:val="Calibri"/>
            </w:pPr>
            <w:r w:rsidRPr="008E1641">
              <w:t>LEA Level</w:t>
            </w:r>
          </w:p>
          <w:p w:rsidR="006D7C6E" w:rsidRPr="008E1641" w:rsidRDefault="006D7C6E" w:rsidP="006D7C6E">
            <w:pPr>
              <w:pStyle w:val="Calibri"/>
              <w:rPr>
                <w:b w:val="0"/>
              </w:rPr>
            </w:pPr>
            <w:r w:rsidRPr="008E1641">
              <w:rPr>
                <w:rFonts w:ascii="Cambria Math" w:hAnsi="Cambria Math"/>
                <w:b w:val="0"/>
              </w:rPr>
              <w:t>⧠</w:t>
            </w:r>
            <w:r w:rsidRPr="008E1641">
              <w:rPr>
                <w:b w:val="0"/>
              </w:rPr>
              <w:t xml:space="preserve"> A. Documentation that learning is extended into the community (e.g., Supervised Agricultural Experience (SAE) documentation, service learning activities, Work-Based learning, or cooperative worksite learning activities) </w:t>
            </w:r>
          </w:p>
          <w:p w:rsidR="006D7C6E" w:rsidRPr="008E1641" w:rsidRDefault="006D7C6E" w:rsidP="006D7C6E">
            <w:pPr>
              <w:pStyle w:val="Calibri"/>
              <w:rPr>
                <w:b w:val="0"/>
              </w:rPr>
            </w:pPr>
            <w:r w:rsidRPr="008E1641">
              <w:rPr>
                <w:rFonts w:ascii="Cambria Math" w:hAnsi="Cambria Math"/>
                <w:b w:val="0"/>
              </w:rPr>
              <w:t>⧠</w:t>
            </w:r>
            <w:r w:rsidRPr="008E1641">
              <w:rPr>
                <w:b w:val="0"/>
              </w:rPr>
              <w:t xml:space="preserve"> B. Documentation that time is allowed for staff coordination of extended learning.</w:t>
            </w:r>
          </w:p>
        </w:tc>
        <w:tc>
          <w:tcPr>
            <w:tcW w:w="3427" w:type="dxa"/>
            <w:shd w:val="clear" w:color="auto" w:fill="F2F2F2" w:themeFill="background1" w:themeFillShade="F2"/>
          </w:tcPr>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Compliant</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Action Plan Approved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Evidence Needed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Noncompliant</w:t>
            </w:r>
          </w:p>
          <w:p w:rsidR="006D7C6E" w:rsidRPr="008E1641" w:rsidRDefault="006D7C6E" w:rsidP="006D7C6E">
            <w:pPr>
              <w:rPr>
                <w:rFonts w:ascii="Cambria Math" w:hAnsi="Cambria Math" w:cs="Cambria Math"/>
                <w:szCs w:val="18"/>
              </w:rPr>
            </w:pPr>
            <w:r w:rsidRPr="008E1641">
              <w:rPr>
                <w:rFonts w:ascii="Cambria Math" w:hAnsi="Cambria Math" w:cs="Cambria Math"/>
                <w:szCs w:val="18"/>
              </w:rPr>
              <w:t>⧠</w:t>
            </w:r>
            <w:r w:rsidRPr="008E1641">
              <w:rPr>
                <w:rFonts w:cs="Cambria Math"/>
                <w:szCs w:val="18"/>
              </w:rPr>
              <w:t xml:space="preserve"> N/A</w:t>
            </w:r>
          </w:p>
        </w:tc>
      </w:tr>
      <w:tr w:rsidR="006D7C6E" w:rsidRPr="00813A2B" w:rsidTr="00246795">
        <w:tc>
          <w:tcPr>
            <w:tcW w:w="630" w:type="dxa"/>
            <w:shd w:val="clear" w:color="auto" w:fill="auto"/>
          </w:tcPr>
          <w:p w:rsidR="006D7C6E" w:rsidRPr="008E1641" w:rsidRDefault="006D7C6E" w:rsidP="006D7C6E">
            <w:pPr>
              <w:rPr>
                <w:rFonts w:cs="Times New Roman"/>
                <w:szCs w:val="18"/>
              </w:rPr>
            </w:pPr>
            <w:r w:rsidRPr="008E1641">
              <w:rPr>
                <w:rFonts w:cs="Times New Roman"/>
                <w:szCs w:val="18"/>
              </w:rPr>
              <w:t>12.9</w:t>
            </w:r>
          </w:p>
        </w:tc>
        <w:tc>
          <w:tcPr>
            <w:tcW w:w="2880" w:type="dxa"/>
            <w:shd w:val="clear" w:color="auto" w:fill="auto"/>
          </w:tcPr>
          <w:p w:rsidR="006D7C6E" w:rsidRPr="008E1641" w:rsidRDefault="006D7C6E" w:rsidP="006D7C6E">
            <w:pPr>
              <w:rPr>
                <w:rFonts w:cs="Times New Roman"/>
                <w:b/>
                <w:szCs w:val="18"/>
              </w:rPr>
            </w:pPr>
            <w:r w:rsidRPr="008E1641">
              <w:rPr>
                <w:rFonts w:cs="Times New Roman"/>
                <w:b/>
                <w:szCs w:val="18"/>
              </w:rPr>
              <w:t>Program Evaluation</w:t>
            </w:r>
          </w:p>
          <w:p w:rsidR="006D7C6E" w:rsidRPr="008E1641" w:rsidRDefault="006D7C6E" w:rsidP="006D7C6E">
            <w:pPr>
              <w:rPr>
                <w:rFonts w:cs="Times New Roman"/>
                <w:i/>
                <w:szCs w:val="18"/>
              </w:rPr>
            </w:pPr>
            <w:r w:rsidRPr="008E1641">
              <w:rPr>
                <w:rFonts w:cs="Times New Roman"/>
                <w:i/>
                <w:szCs w:val="18"/>
              </w:rPr>
              <w:t>LEA evaluates annually, using the LEA’s local adjusted levels of performance and CTE activities in its program. Sec 123(b) (1).</w:t>
            </w:r>
          </w:p>
        </w:tc>
        <w:tc>
          <w:tcPr>
            <w:tcW w:w="8366" w:type="dxa"/>
            <w:shd w:val="clear" w:color="auto" w:fill="auto"/>
          </w:tcPr>
          <w:p w:rsidR="006D7C6E" w:rsidRPr="008E1641" w:rsidRDefault="006D7C6E" w:rsidP="006D7C6E">
            <w:pPr>
              <w:pStyle w:val="Calibri"/>
            </w:pPr>
            <w:r w:rsidRPr="008E1641">
              <w:t>LEA Level</w:t>
            </w:r>
          </w:p>
          <w:p w:rsidR="006D7C6E" w:rsidRPr="008E1641" w:rsidRDefault="006D7C6E" w:rsidP="006D7C6E">
            <w:pPr>
              <w:rPr>
                <w:rFonts w:cs="Times New Roman"/>
                <w:szCs w:val="18"/>
              </w:rPr>
            </w:pPr>
            <w:r w:rsidRPr="008E1641">
              <w:rPr>
                <w:rFonts w:ascii="Cambria Math" w:hAnsi="Cambria Math"/>
              </w:rPr>
              <w:t>⧠</w:t>
            </w:r>
            <w:r w:rsidRPr="008E1641">
              <w:t xml:space="preserve"> A. </w:t>
            </w:r>
            <w:r w:rsidRPr="008E1641">
              <w:rPr>
                <w:rFonts w:cs="Times New Roman"/>
                <w:szCs w:val="18"/>
              </w:rPr>
              <w:t>Program evaluation plan to be reviewed yearly by Advisory Committee and approved by school board.</w:t>
            </w:r>
          </w:p>
          <w:p w:rsidR="006D7C6E" w:rsidRPr="008E1641" w:rsidRDefault="006D7C6E" w:rsidP="006D7C6E">
            <w:r w:rsidRPr="008E1641">
              <w:rPr>
                <w:rFonts w:ascii="Cambria Math" w:hAnsi="Cambria Math"/>
              </w:rPr>
              <w:t>⧠</w:t>
            </w:r>
            <w:r w:rsidRPr="008E1641">
              <w:t xml:space="preserve"> B. Copy of LEA-wide Plan</w:t>
            </w:r>
          </w:p>
          <w:p w:rsidR="006D7C6E" w:rsidRPr="008E1641" w:rsidRDefault="006D7C6E" w:rsidP="006D7C6E">
            <w:pPr>
              <w:rPr>
                <w:b/>
              </w:rPr>
            </w:pPr>
            <w:r w:rsidRPr="008E1641">
              <w:rPr>
                <w:rFonts w:ascii="Cambria Math" w:hAnsi="Cambria Math"/>
              </w:rPr>
              <w:t>⧠</w:t>
            </w:r>
            <w:r w:rsidRPr="008E1641">
              <w:t xml:space="preserve"> C. Evidence that the LEA has implemented the approved</w:t>
            </w:r>
            <w:r w:rsidRPr="008E1641">
              <w:rPr>
                <w:rFonts w:cs="Times New Roman"/>
                <w:szCs w:val="18"/>
              </w:rPr>
              <w:t xml:space="preserve"> Perkins Performance Improvement Plan </w:t>
            </w:r>
            <w:r w:rsidRPr="008E1641">
              <w:t>(applicable only if an LEA did not meet one or more of the performance measures).</w:t>
            </w:r>
          </w:p>
        </w:tc>
        <w:tc>
          <w:tcPr>
            <w:tcW w:w="3427" w:type="dxa"/>
            <w:shd w:val="clear" w:color="auto" w:fill="auto"/>
          </w:tcPr>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Compliant</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Action Plan Approved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Evidence Needed</w:t>
            </w:r>
          </w:p>
          <w:p w:rsidR="006D7C6E" w:rsidRPr="008E1641" w:rsidRDefault="006D7C6E" w:rsidP="006D7C6E">
            <w:pPr>
              <w:rPr>
                <w:rFonts w:cs="Cambria Math"/>
                <w:szCs w:val="18"/>
              </w:rPr>
            </w:pPr>
            <w:r w:rsidRPr="008E1641">
              <w:rPr>
                <w:rFonts w:ascii="Cambria Math" w:hAnsi="Cambria Math" w:cs="Cambria Math"/>
                <w:szCs w:val="18"/>
              </w:rPr>
              <w:t>⧠</w:t>
            </w:r>
            <w:r w:rsidRPr="008E1641">
              <w:rPr>
                <w:rFonts w:cs="Cambria Math"/>
                <w:szCs w:val="18"/>
              </w:rPr>
              <w:t xml:space="preserve"> Noncompliant</w:t>
            </w:r>
          </w:p>
          <w:p w:rsidR="006D7C6E" w:rsidRPr="00813A2B" w:rsidRDefault="006D7C6E" w:rsidP="006D7C6E">
            <w:pPr>
              <w:rPr>
                <w:rFonts w:ascii="Cambria Math" w:hAnsi="Cambria Math" w:cs="Cambria Math"/>
                <w:szCs w:val="18"/>
              </w:rPr>
            </w:pPr>
            <w:r w:rsidRPr="008E1641">
              <w:rPr>
                <w:rFonts w:ascii="Cambria Math" w:hAnsi="Cambria Math" w:cs="Cambria Math"/>
                <w:szCs w:val="18"/>
              </w:rPr>
              <w:t>⧠</w:t>
            </w:r>
            <w:r w:rsidRPr="008E1641">
              <w:rPr>
                <w:rFonts w:cs="Cambria Math"/>
                <w:szCs w:val="18"/>
              </w:rPr>
              <w:t xml:space="preserve"> N/A</w:t>
            </w:r>
          </w:p>
        </w:tc>
      </w:tr>
    </w:tbl>
    <w:p w:rsidR="00271C8F" w:rsidRPr="006D7C6E" w:rsidRDefault="00271C8F"/>
    <w:sectPr w:rsidR="00271C8F" w:rsidRPr="006D7C6E" w:rsidSect="007463BD">
      <w:headerReference w:type="default" r:id="rId8"/>
      <w:footerReference w:type="default" r:id="rId9"/>
      <w:pgSz w:w="15840" w:h="12240" w:orient="landscape"/>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62" w:rsidRDefault="00DB2662" w:rsidP="007463BD">
      <w:pPr>
        <w:spacing w:after="0" w:line="240" w:lineRule="auto"/>
      </w:pPr>
      <w:r>
        <w:separator/>
      </w:r>
    </w:p>
  </w:endnote>
  <w:endnote w:type="continuationSeparator" w:id="0">
    <w:p w:rsidR="00DB2662" w:rsidRDefault="00DB2662" w:rsidP="007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Cs w:val="18"/>
      </w:rPr>
      <w:id w:val="-110743553"/>
      <w:docPartObj>
        <w:docPartGallery w:val="Page Numbers (Bottom of Page)"/>
        <w:docPartUnique/>
      </w:docPartObj>
    </w:sdtPr>
    <w:sdtEndPr/>
    <w:sdtContent>
      <w:sdt>
        <w:sdtPr>
          <w:rPr>
            <w:b/>
            <w:szCs w:val="18"/>
          </w:rPr>
          <w:id w:val="1728636285"/>
          <w:docPartObj>
            <w:docPartGallery w:val="Page Numbers (Top of Page)"/>
            <w:docPartUnique/>
          </w:docPartObj>
        </w:sdtPr>
        <w:sdtEndPr/>
        <w:sdtContent>
          <w:p w:rsidR="00944E4D" w:rsidRPr="00F61805" w:rsidRDefault="00944E4D" w:rsidP="00F61805">
            <w:pPr>
              <w:pStyle w:val="Footer"/>
              <w:jc w:val="center"/>
              <w:rPr>
                <w:b/>
                <w:szCs w:val="18"/>
              </w:rPr>
            </w:pPr>
            <w:r w:rsidRPr="00F61805">
              <w:rPr>
                <w:b/>
                <w:szCs w:val="18"/>
              </w:rPr>
              <w:t xml:space="preserve">Page </w:t>
            </w:r>
            <w:r w:rsidRPr="00F61805">
              <w:rPr>
                <w:b/>
                <w:bCs/>
                <w:szCs w:val="18"/>
              </w:rPr>
              <w:fldChar w:fldCharType="begin"/>
            </w:r>
            <w:r w:rsidRPr="00F61805">
              <w:rPr>
                <w:b/>
                <w:bCs/>
                <w:szCs w:val="18"/>
              </w:rPr>
              <w:instrText xml:space="preserve"> PAGE </w:instrText>
            </w:r>
            <w:r w:rsidRPr="00F61805">
              <w:rPr>
                <w:b/>
                <w:bCs/>
                <w:szCs w:val="18"/>
              </w:rPr>
              <w:fldChar w:fldCharType="separate"/>
            </w:r>
            <w:r w:rsidR="008E1641">
              <w:rPr>
                <w:b/>
                <w:bCs/>
                <w:noProof/>
                <w:szCs w:val="18"/>
              </w:rPr>
              <w:t>3</w:t>
            </w:r>
            <w:r w:rsidRPr="00F61805">
              <w:rPr>
                <w:b/>
                <w:bCs/>
                <w:szCs w:val="18"/>
              </w:rPr>
              <w:fldChar w:fldCharType="end"/>
            </w:r>
            <w:r w:rsidRPr="00F61805">
              <w:rPr>
                <w:b/>
                <w:szCs w:val="18"/>
              </w:rPr>
              <w:t xml:space="preserve"> of </w:t>
            </w:r>
            <w:r w:rsidRPr="00F61805">
              <w:rPr>
                <w:b/>
                <w:bCs/>
                <w:szCs w:val="18"/>
              </w:rPr>
              <w:fldChar w:fldCharType="begin"/>
            </w:r>
            <w:r w:rsidRPr="00F61805">
              <w:rPr>
                <w:b/>
                <w:bCs/>
                <w:szCs w:val="18"/>
              </w:rPr>
              <w:instrText xml:space="preserve"> NUMPAGES  </w:instrText>
            </w:r>
            <w:r w:rsidRPr="00F61805">
              <w:rPr>
                <w:b/>
                <w:bCs/>
                <w:szCs w:val="18"/>
              </w:rPr>
              <w:fldChar w:fldCharType="separate"/>
            </w:r>
            <w:r w:rsidR="008E1641">
              <w:rPr>
                <w:b/>
                <w:bCs/>
                <w:noProof/>
                <w:szCs w:val="18"/>
              </w:rPr>
              <w:t>3</w:t>
            </w:r>
            <w:r w:rsidRPr="00F61805">
              <w:rPr>
                <w:b/>
                <w:bCs/>
                <w:szCs w:val="18"/>
              </w:rPr>
              <w:fldChar w:fldCharType="end"/>
            </w:r>
          </w:p>
        </w:sdtContent>
      </w:sdt>
    </w:sdtContent>
  </w:sdt>
  <w:p w:rsidR="00944E4D" w:rsidRDefault="0094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62" w:rsidRDefault="00DB2662" w:rsidP="007463BD">
      <w:pPr>
        <w:spacing w:after="0" w:line="240" w:lineRule="auto"/>
      </w:pPr>
      <w:r>
        <w:separator/>
      </w:r>
    </w:p>
  </w:footnote>
  <w:footnote w:type="continuationSeparator" w:id="0">
    <w:p w:rsidR="00DB2662" w:rsidRDefault="00DB2662" w:rsidP="007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4D" w:rsidRPr="00EC6936" w:rsidRDefault="0055417C" w:rsidP="00F61805">
    <w:pPr>
      <w:pStyle w:val="Header"/>
      <w:jc w:val="center"/>
      <w:rPr>
        <w:szCs w:val="18"/>
      </w:rPr>
    </w:pPr>
    <w:r w:rsidRPr="00EC6936">
      <w:rPr>
        <w:szCs w:val="18"/>
      </w:rPr>
      <w:t xml:space="preserve">CPR </w:t>
    </w:r>
    <w:r w:rsidR="003F773F" w:rsidRPr="00EC6936">
      <w:rPr>
        <w:szCs w:val="18"/>
      </w:rPr>
      <w:t>2017-2018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490"/>
    <w:multiLevelType w:val="hybridMultilevel"/>
    <w:tmpl w:val="5CD6E0A4"/>
    <w:lvl w:ilvl="0" w:tplc="CF988A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2DB"/>
    <w:multiLevelType w:val="hybridMultilevel"/>
    <w:tmpl w:val="02F4B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83E46"/>
    <w:multiLevelType w:val="hybridMultilevel"/>
    <w:tmpl w:val="796228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187612C"/>
    <w:multiLevelType w:val="hybridMultilevel"/>
    <w:tmpl w:val="0FD4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B2DE6"/>
    <w:multiLevelType w:val="hybridMultilevel"/>
    <w:tmpl w:val="04A8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54CCE"/>
    <w:multiLevelType w:val="multilevel"/>
    <w:tmpl w:val="0AFE1040"/>
    <w:lvl w:ilvl="0">
      <w:start w:val="1"/>
      <w:numFmt w:val="decimal"/>
      <w:lvlText w:val="%1"/>
      <w:lvlJc w:val="left"/>
      <w:pPr>
        <w:ind w:left="810" w:hanging="705"/>
      </w:pPr>
      <w:rPr>
        <w:rFonts w:hint="default"/>
      </w:rPr>
    </w:lvl>
    <w:lvl w:ilvl="1">
      <w:start w:val="1"/>
      <w:numFmt w:val="decimal"/>
      <w:lvlText w:val="%1.%2"/>
      <w:lvlJc w:val="left"/>
      <w:pPr>
        <w:ind w:left="810" w:hanging="705"/>
      </w:pPr>
      <w:rPr>
        <w:rFonts w:ascii="Verdana" w:eastAsia="Verdana" w:hAnsi="Verdana" w:hint="default"/>
        <w:b/>
        <w:bCs/>
        <w:spacing w:val="-2"/>
        <w:w w:val="102"/>
        <w:sz w:val="19"/>
        <w:szCs w:val="19"/>
      </w:rPr>
    </w:lvl>
    <w:lvl w:ilvl="2">
      <w:start w:val="1"/>
      <w:numFmt w:val="lowerLetter"/>
      <w:lvlText w:val="%3."/>
      <w:lvlJc w:val="left"/>
      <w:pPr>
        <w:ind w:left="810" w:hanging="264"/>
      </w:pPr>
      <w:rPr>
        <w:rFonts w:ascii="Verdana" w:eastAsia="Verdana" w:hAnsi="Verdana" w:hint="default"/>
        <w:i/>
        <w:spacing w:val="2"/>
        <w:w w:val="102"/>
        <w:sz w:val="19"/>
        <w:szCs w:val="19"/>
      </w:rPr>
    </w:lvl>
    <w:lvl w:ilvl="3">
      <w:start w:val="1"/>
      <w:numFmt w:val="bullet"/>
      <w:lvlText w:val="•"/>
      <w:lvlJc w:val="left"/>
      <w:pPr>
        <w:ind w:left="1809" w:hanging="264"/>
      </w:pPr>
      <w:rPr>
        <w:rFonts w:hint="default"/>
      </w:rPr>
    </w:lvl>
    <w:lvl w:ilvl="4">
      <w:start w:val="1"/>
      <w:numFmt w:val="bullet"/>
      <w:lvlText w:val="•"/>
      <w:lvlJc w:val="left"/>
      <w:pPr>
        <w:ind w:left="2142" w:hanging="264"/>
      </w:pPr>
      <w:rPr>
        <w:rFonts w:hint="default"/>
      </w:rPr>
    </w:lvl>
    <w:lvl w:ilvl="5">
      <w:start w:val="1"/>
      <w:numFmt w:val="bullet"/>
      <w:lvlText w:val="•"/>
      <w:lvlJc w:val="left"/>
      <w:pPr>
        <w:ind w:left="2475" w:hanging="264"/>
      </w:pPr>
      <w:rPr>
        <w:rFonts w:hint="default"/>
      </w:rPr>
    </w:lvl>
    <w:lvl w:ilvl="6">
      <w:start w:val="1"/>
      <w:numFmt w:val="bullet"/>
      <w:lvlText w:val="•"/>
      <w:lvlJc w:val="left"/>
      <w:pPr>
        <w:ind w:left="2808" w:hanging="264"/>
      </w:pPr>
      <w:rPr>
        <w:rFonts w:hint="default"/>
      </w:rPr>
    </w:lvl>
    <w:lvl w:ilvl="7">
      <w:start w:val="1"/>
      <w:numFmt w:val="bullet"/>
      <w:lvlText w:val="•"/>
      <w:lvlJc w:val="left"/>
      <w:pPr>
        <w:ind w:left="3142" w:hanging="264"/>
      </w:pPr>
      <w:rPr>
        <w:rFonts w:hint="default"/>
      </w:rPr>
    </w:lvl>
    <w:lvl w:ilvl="8">
      <w:start w:val="1"/>
      <w:numFmt w:val="bullet"/>
      <w:lvlText w:val="•"/>
      <w:lvlJc w:val="left"/>
      <w:pPr>
        <w:ind w:left="3475" w:hanging="264"/>
      </w:pPr>
      <w:rPr>
        <w:rFonts w:hint="default"/>
      </w:rPr>
    </w:lvl>
  </w:abstractNum>
  <w:abstractNum w:abstractNumId="6" w15:restartNumberingAfterBreak="0">
    <w:nsid w:val="368C585C"/>
    <w:multiLevelType w:val="hybridMultilevel"/>
    <w:tmpl w:val="BD98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A4071"/>
    <w:multiLevelType w:val="hybridMultilevel"/>
    <w:tmpl w:val="405C7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5547D"/>
    <w:multiLevelType w:val="hybridMultilevel"/>
    <w:tmpl w:val="2A64A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D5CB6"/>
    <w:multiLevelType w:val="hybridMultilevel"/>
    <w:tmpl w:val="E2C8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85B9C"/>
    <w:multiLevelType w:val="hybridMultilevel"/>
    <w:tmpl w:val="DE90F10A"/>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91B1E"/>
    <w:multiLevelType w:val="hybridMultilevel"/>
    <w:tmpl w:val="E94E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241CC"/>
    <w:multiLevelType w:val="hybridMultilevel"/>
    <w:tmpl w:val="FE6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14860"/>
    <w:multiLevelType w:val="multilevel"/>
    <w:tmpl w:val="031A5AF8"/>
    <w:lvl w:ilvl="0">
      <w:start w:val="4"/>
      <w:numFmt w:val="decimal"/>
      <w:lvlText w:val="%1"/>
      <w:lvlJc w:val="left"/>
      <w:pPr>
        <w:ind w:left="810" w:hanging="344"/>
      </w:pPr>
      <w:rPr>
        <w:rFonts w:hint="default"/>
      </w:rPr>
    </w:lvl>
    <w:lvl w:ilvl="1">
      <w:start w:val="5"/>
      <w:numFmt w:val="decimal"/>
      <w:lvlText w:val="%1.%2"/>
      <w:lvlJc w:val="left"/>
      <w:pPr>
        <w:ind w:left="810" w:hanging="344"/>
      </w:pPr>
      <w:rPr>
        <w:rFonts w:ascii="Verdana" w:eastAsia="Verdana" w:hAnsi="Verdana" w:hint="default"/>
        <w:b/>
        <w:bCs/>
        <w:spacing w:val="-2"/>
        <w:w w:val="102"/>
        <w:sz w:val="19"/>
        <w:szCs w:val="19"/>
      </w:rPr>
    </w:lvl>
    <w:lvl w:ilvl="2">
      <w:start w:val="1"/>
      <w:numFmt w:val="bullet"/>
      <w:lvlText w:val="•"/>
      <w:lvlJc w:val="left"/>
      <w:pPr>
        <w:ind w:left="1479" w:hanging="344"/>
      </w:pPr>
      <w:rPr>
        <w:rFonts w:hint="default"/>
      </w:rPr>
    </w:lvl>
    <w:lvl w:ilvl="3">
      <w:start w:val="1"/>
      <w:numFmt w:val="bullet"/>
      <w:lvlText w:val="•"/>
      <w:lvlJc w:val="left"/>
      <w:pPr>
        <w:ind w:left="1814" w:hanging="344"/>
      </w:pPr>
      <w:rPr>
        <w:rFonts w:hint="default"/>
      </w:rPr>
    </w:lvl>
    <w:lvl w:ilvl="4">
      <w:start w:val="1"/>
      <w:numFmt w:val="bullet"/>
      <w:lvlText w:val="•"/>
      <w:lvlJc w:val="left"/>
      <w:pPr>
        <w:ind w:left="2149" w:hanging="344"/>
      </w:pPr>
      <w:rPr>
        <w:rFonts w:hint="default"/>
      </w:rPr>
    </w:lvl>
    <w:lvl w:ilvl="5">
      <w:start w:val="1"/>
      <w:numFmt w:val="bullet"/>
      <w:lvlText w:val="•"/>
      <w:lvlJc w:val="left"/>
      <w:pPr>
        <w:ind w:left="2484" w:hanging="344"/>
      </w:pPr>
      <w:rPr>
        <w:rFonts w:hint="default"/>
      </w:rPr>
    </w:lvl>
    <w:lvl w:ilvl="6">
      <w:start w:val="1"/>
      <w:numFmt w:val="bullet"/>
      <w:lvlText w:val="•"/>
      <w:lvlJc w:val="left"/>
      <w:pPr>
        <w:ind w:left="2819" w:hanging="344"/>
      </w:pPr>
      <w:rPr>
        <w:rFonts w:hint="default"/>
      </w:rPr>
    </w:lvl>
    <w:lvl w:ilvl="7">
      <w:start w:val="1"/>
      <w:numFmt w:val="bullet"/>
      <w:lvlText w:val="•"/>
      <w:lvlJc w:val="left"/>
      <w:pPr>
        <w:ind w:left="3154" w:hanging="344"/>
      </w:pPr>
      <w:rPr>
        <w:rFonts w:hint="default"/>
      </w:rPr>
    </w:lvl>
    <w:lvl w:ilvl="8">
      <w:start w:val="1"/>
      <w:numFmt w:val="bullet"/>
      <w:lvlText w:val="•"/>
      <w:lvlJc w:val="left"/>
      <w:pPr>
        <w:ind w:left="3489" w:hanging="344"/>
      </w:pPr>
      <w:rPr>
        <w:rFonts w:hint="default"/>
      </w:rPr>
    </w:lvl>
  </w:abstractNum>
  <w:abstractNum w:abstractNumId="14" w15:restartNumberingAfterBreak="0">
    <w:nsid w:val="57C01B02"/>
    <w:multiLevelType w:val="hybridMultilevel"/>
    <w:tmpl w:val="0DF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14605"/>
    <w:multiLevelType w:val="hybridMultilevel"/>
    <w:tmpl w:val="25CC8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2"/>
  </w:num>
  <w:num w:numId="5">
    <w:abstractNumId w:val="7"/>
  </w:num>
  <w:num w:numId="6">
    <w:abstractNumId w:val="2"/>
  </w:num>
  <w:num w:numId="7">
    <w:abstractNumId w:val="13"/>
  </w:num>
  <w:num w:numId="8">
    <w:abstractNumId w:val="14"/>
  </w:num>
  <w:num w:numId="9">
    <w:abstractNumId w:val="9"/>
  </w:num>
  <w:num w:numId="10">
    <w:abstractNumId w:val="6"/>
  </w:num>
  <w:num w:numId="11">
    <w:abstractNumId w:val="11"/>
  </w:num>
  <w:num w:numId="12">
    <w:abstractNumId w:val="4"/>
  </w:num>
  <w:num w:numId="13">
    <w:abstractNumId w:val="0"/>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2A"/>
    <w:rsid w:val="00001E1F"/>
    <w:rsid w:val="00004F85"/>
    <w:rsid w:val="000065F1"/>
    <w:rsid w:val="000169C6"/>
    <w:rsid w:val="00025C46"/>
    <w:rsid w:val="00037E3C"/>
    <w:rsid w:val="00047564"/>
    <w:rsid w:val="00063CEB"/>
    <w:rsid w:val="00064DB5"/>
    <w:rsid w:val="00072BC2"/>
    <w:rsid w:val="00074280"/>
    <w:rsid w:val="0009713B"/>
    <w:rsid w:val="000B4CBD"/>
    <w:rsid w:val="000D2093"/>
    <w:rsid w:val="000D3B6B"/>
    <w:rsid w:val="000D56BD"/>
    <w:rsid w:val="000E0C0C"/>
    <w:rsid w:val="000E6D42"/>
    <w:rsid w:val="000F7E69"/>
    <w:rsid w:val="001001B0"/>
    <w:rsid w:val="00104AC3"/>
    <w:rsid w:val="00140BDA"/>
    <w:rsid w:val="00144026"/>
    <w:rsid w:val="00173699"/>
    <w:rsid w:val="001947F6"/>
    <w:rsid w:val="00197E51"/>
    <w:rsid w:val="001A5A6A"/>
    <w:rsid w:val="001B455D"/>
    <w:rsid w:val="001E1E75"/>
    <w:rsid w:val="001F0A2D"/>
    <w:rsid w:val="002014B6"/>
    <w:rsid w:val="0020493B"/>
    <w:rsid w:val="00220C38"/>
    <w:rsid w:val="002275FB"/>
    <w:rsid w:val="00227FD1"/>
    <w:rsid w:val="00246795"/>
    <w:rsid w:val="002679A2"/>
    <w:rsid w:val="00271C8F"/>
    <w:rsid w:val="002A2629"/>
    <w:rsid w:val="002A6F23"/>
    <w:rsid w:val="002B7F70"/>
    <w:rsid w:val="002D2310"/>
    <w:rsid w:val="002D3AF5"/>
    <w:rsid w:val="002D5753"/>
    <w:rsid w:val="0030090B"/>
    <w:rsid w:val="00312788"/>
    <w:rsid w:val="003148F7"/>
    <w:rsid w:val="003150BE"/>
    <w:rsid w:val="00341C88"/>
    <w:rsid w:val="00347DD1"/>
    <w:rsid w:val="00391B55"/>
    <w:rsid w:val="003959D9"/>
    <w:rsid w:val="003B1298"/>
    <w:rsid w:val="003F6F2A"/>
    <w:rsid w:val="003F773F"/>
    <w:rsid w:val="0041675D"/>
    <w:rsid w:val="00426944"/>
    <w:rsid w:val="00436870"/>
    <w:rsid w:val="004E1FDC"/>
    <w:rsid w:val="004F236B"/>
    <w:rsid w:val="00533F78"/>
    <w:rsid w:val="00546290"/>
    <w:rsid w:val="0055417C"/>
    <w:rsid w:val="005850C9"/>
    <w:rsid w:val="005928A7"/>
    <w:rsid w:val="00593922"/>
    <w:rsid w:val="005B21AC"/>
    <w:rsid w:val="005E3A15"/>
    <w:rsid w:val="005E5214"/>
    <w:rsid w:val="00641546"/>
    <w:rsid w:val="006638AC"/>
    <w:rsid w:val="00665C98"/>
    <w:rsid w:val="00675FD0"/>
    <w:rsid w:val="00692D71"/>
    <w:rsid w:val="006A4279"/>
    <w:rsid w:val="006B5EE5"/>
    <w:rsid w:val="006D0149"/>
    <w:rsid w:val="006D25D7"/>
    <w:rsid w:val="006D3FAB"/>
    <w:rsid w:val="006D7C6E"/>
    <w:rsid w:val="00704BC3"/>
    <w:rsid w:val="007219DF"/>
    <w:rsid w:val="007433AC"/>
    <w:rsid w:val="007463BD"/>
    <w:rsid w:val="00777B09"/>
    <w:rsid w:val="007C2BEB"/>
    <w:rsid w:val="007D39BB"/>
    <w:rsid w:val="007E4409"/>
    <w:rsid w:val="007E7911"/>
    <w:rsid w:val="00803E6E"/>
    <w:rsid w:val="00813A2B"/>
    <w:rsid w:val="008404DD"/>
    <w:rsid w:val="0084094F"/>
    <w:rsid w:val="00855F79"/>
    <w:rsid w:val="008D603F"/>
    <w:rsid w:val="008E1641"/>
    <w:rsid w:val="008E2F03"/>
    <w:rsid w:val="00923436"/>
    <w:rsid w:val="00940659"/>
    <w:rsid w:val="00944E4D"/>
    <w:rsid w:val="00951E91"/>
    <w:rsid w:val="009578D6"/>
    <w:rsid w:val="009A7DC2"/>
    <w:rsid w:val="009E7573"/>
    <w:rsid w:val="009F17D9"/>
    <w:rsid w:val="00A022FA"/>
    <w:rsid w:val="00A02F2B"/>
    <w:rsid w:val="00A33893"/>
    <w:rsid w:val="00A42D0B"/>
    <w:rsid w:val="00AE33C8"/>
    <w:rsid w:val="00B33A18"/>
    <w:rsid w:val="00B4719C"/>
    <w:rsid w:val="00B515BE"/>
    <w:rsid w:val="00B977E9"/>
    <w:rsid w:val="00BE72F1"/>
    <w:rsid w:val="00C20469"/>
    <w:rsid w:val="00CB2296"/>
    <w:rsid w:val="00CB67C7"/>
    <w:rsid w:val="00CE1829"/>
    <w:rsid w:val="00CE4FB7"/>
    <w:rsid w:val="00CF22ED"/>
    <w:rsid w:val="00D223B5"/>
    <w:rsid w:val="00D70D4E"/>
    <w:rsid w:val="00D75765"/>
    <w:rsid w:val="00DB2662"/>
    <w:rsid w:val="00DE6DD2"/>
    <w:rsid w:val="00E0720C"/>
    <w:rsid w:val="00E2080D"/>
    <w:rsid w:val="00E51658"/>
    <w:rsid w:val="00E837A6"/>
    <w:rsid w:val="00EA3AFB"/>
    <w:rsid w:val="00EB6097"/>
    <w:rsid w:val="00EC6936"/>
    <w:rsid w:val="00EF418D"/>
    <w:rsid w:val="00F27FE1"/>
    <w:rsid w:val="00F30D25"/>
    <w:rsid w:val="00F475C9"/>
    <w:rsid w:val="00F517C3"/>
    <w:rsid w:val="00F55642"/>
    <w:rsid w:val="00F61805"/>
    <w:rsid w:val="00F72614"/>
    <w:rsid w:val="00F8362A"/>
    <w:rsid w:val="00F8742E"/>
    <w:rsid w:val="00FE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C380E0B-799A-4205-AFAF-519A2049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C6"/>
    <w:rPr>
      <w:rFonts w:asciiTheme="minorHAnsi" w:hAnsiTheme="minorHAnsi"/>
      <w:sz w:val="18"/>
    </w:rPr>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19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365F91" w:themeColor="accent1" w:themeShade="BF"/>
      <w:sz w:val="32"/>
      <w:szCs w:val="32"/>
    </w:rPr>
  </w:style>
  <w:style w:type="paragraph" w:styleId="BodyText">
    <w:name w:val="Body Text"/>
    <w:basedOn w:val="Normal"/>
    <w:link w:val="BodyTextChar"/>
    <w:uiPriority w:val="99"/>
    <w:unhideWhenUsed/>
    <w:rsid w:val="002D3AF5"/>
    <w:pPr>
      <w:spacing w:after="120"/>
    </w:pPr>
  </w:style>
  <w:style w:type="character" w:customStyle="1" w:styleId="BodyTextChar">
    <w:name w:val="Body Text Char"/>
    <w:basedOn w:val="DefaultParagraphFont"/>
    <w:link w:val="BodyText"/>
    <w:uiPriority w:val="99"/>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cs="Cambria Math"/>
      <w:b/>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19DF"/>
    <w:rPr>
      <w:rFonts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247D-2B19-4B9E-B2B1-FA3C0B3B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Larson</dc:creator>
  <cp:lastModifiedBy>Ben King</cp:lastModifiedBy>
  <cp:revision>7</cp:revision>
  <cp:lastPrinted>2017-08-04T15:38:00Z</cp:lastPrinted>
  <dcterms:created xsi:type="dcterms:W3CDTF">2017-08-04T14:47:00Z</dcterms:created>
  <dcterms:modified xsi:type="dcterms:W3CDTF">2017-08-08T16:25:00Z</dcterms:modified>
</cp:coreProperties>
</file>