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40.2139037433153"/>
        <w:gridCol w:w="6819.786096256684"/>
        <w:tblGridChange w:id="0">
          <w:tblGrid>
            <w:gridCol w:w="2540.2139037433153"/>
            <w:gridCol w:w="6819.7860962566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Board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As applicable, if membership at the board level changes, school must provide the Commission within five (5) business days of changes taking effect the following:  Updated Board Roster, New Board Members Disclosure Form (Completed), and New Board Member Resume. (Charter Contract 4.2.2)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