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440A" w14:textId="77777777" w:rsidR="002830A3" w:rsidRPr="000D05A1" w:rsidRDefault="002830A3">
      <w:pPr>
        <w:rPr>
          <w:rFonts w:ascii="Helvetica Neue" w:hAnsi="Helvetica Neue"/>
          <w:sz w:val="20"/>
        </w:rPr>
      </w:pPr>
    </w:p>
    <w:p w14:paraId="28B31EDE" w14:textId="77777777" w:rsidR="000D05A1" w:rsidRPr="000D05A1" w:rsidRDefault="000D05A1" w:rsidP="000D05A1">
      <w:pPr>
        <w:spacing w:before="100" w:beforeAutospacing="1" w:after="100" w:afterAutospacing="1"/>
        <w:rPr>
          <w:rFonts w:ascii="Helvetica Neue" w:eastAsiaTheme="minorEastAsia" w:hAnsi="Helvetica Neue"/>
          <w:b/>
          <w:sz w:val="20"/>
        </w:rPr>
      </w:pPr>
      <w:r w:rsidRPr="000D05A1">
        <w:rPr>
          <w:rFonts w:ascii="Helvetica Neue" w:eastAsiaTheme="minorEastAsia" w:hAnsi="Helvetica Neue"/>
          <w:b/>
          <w:sz w:val="20"/>
        </w:rPr>
        <w:t xml:space="preserve">Reducing the Risk of Liability </w:t>
      </w:r>
    </w:p>
    <w:p w14:paraId="7AB3F486" w14:textId="77777777" w:rsidR="000D05A1" w:rsidRPr="000D05A1" w:rsidRDefault="000D05A1" w:rsidP="000D05A1">
      <w:pPr>
        <w:spacing w:before="100" w:beforeAutospacing="1" w:after="100" w:afterAutospacing="1"/>
        <w:rPr>
          <w:rFonts w:ascii="Helvetica Neue" w:eastAsiaTheme="minorEastAsia" w:hAnsi="Helvetica Neue"/>
          <w:sz w:val="20"/>
        </w:rPr>
      </w:pPr>
      <w:r w:rsidRPr="000D05A1">
        <w:rPr>
          <w:rFonts w:ascii="Helvetica Neue" w:eastAsiaTheme="minorEastAsia" w:hAnsi="Helvetica Neue"/>
          <w:sz w:val="20"/>
        </w:rPr>
        <w:t xml:space="preserve">Although lawsuits against board members of nonprofit corporations occur less frequently than those against board members of for-profit business corporations, they are not unknown. Recent widespread publicity and, in some cases, criminal convictions have highlighted the fiduciary role of board members and officers of nonprofit organizations. </w:t>
      </w:r>
    </w:p>
    <w:p w14:paraId="2FBE1EB9" w14:textId="5A283DDF" w:rsidR="000D05A1" w:rsidRPr="000D05A1" w:rsidRDefault="000D05A1" w:rsidP="000D05A1">
      <w:pPr>
        <w:spacing w:before="100" w:beforeAutospacing="1" w:after="100" w:afterAutospacing="1"/>
        <w:rPr>
          <w:rFonts w:ascii="Helvetica Neue" w:eastAsiaTheme="minorEastAsia" w:hAnsi="Helvetica Neue"/>
          <w:sz w:val="20"/>
        </w:rPr>
      </w:pPr>
      <w:r w:rsidRPr="000D05A1">
        <w:rPr>
          <w:rFonts w:ascii="Helvetica Neue" w:eastAsiaTheme="minorEastAsia" w:hAnsi="Helvetica Neue"/>
          <w:sz w:val="20"/>
        </w:rPr>
        <w:t xml:space="preserve">It is possible that board members of a charitable/nonprofit corporation will find themselves sued as personal defendants in a lawsuit filed by an “outside third party” that has incurred some personal injury or financial loss as a result of dealings with the organization. To encourage citizens to serve as board members for charities, the law cloaks volunteer board members with qualified immunity. (See </w:t>
      </w:r>
      <w:r w:rsidRPr="000D05A1">
        <w:rPr>
          <w:rFonts w:ascii="Helvetica Neue" w:eastAsiaTheme="minorEastAsia" w:hAnsi="Helvetica Neue"/>
          <w:color w:val="0000FF"/>
          <w:sz w:val="20"/>
        </w:rPr>
        <w:t xml:space="preserve">RCW 23B.17.030 </w:t>
      </w:r>
      <w:r w:rsidRPr="000D05A1">
        <w:rPr>
          <w:rFonts w:ascii="Helvetica Neue" w:eastAsiaTheme="minorEastAsia" w:hAnsi="Helvetica Neue"/>
          <w:sz w:val="20"/>
        </w:rPr>
        <w:t xml:space="preserve">and </w:t>
      </w:r>
      <w:r w:rsidRPr="000D05A1">
        <w:rPr>
          <w:rFonts w:ascii="Helvetica Neue" w:eastAsiaTheme="minorEastAsia" w:hAnsi="Helvetica Neue"/>
          <w:color w:val="0000FF"/>
          <w:sz w:val="20"/>
        </w:rPr>
        <w:t>RCW 4.24.264</w:t>
      </w:r>
      <w:r w:rsidRPr="000D05A1">
        <w:rPr>
          <w:rFonts w:ascii="Helvetica Neue" w:eastAsiaTheme="minorEastAsia" w:hAnsi="Helvetica Neue"/>
          <w:sz w:val="20"/>
        </w:rPr>
        <w:t xml:space="preserve">) They cannot be sued for negligent acts. They may, however, be subject to lawsuits alleging that a loss was due to their gross negligence, willful or fraudulent acts. </w:t>
      </w:r>
    </w:p>
    <w:p w14:paraId="2BAD7C0B" w14:textId="77777777" w:rsidR="000D05A1" w:rsidRPr="000D05A1" w:rsidRDefault="000D05A1" w:rsidP="000D05A1">
      <w:pPr>
        <w:spacing w:before="100" w:beforeAutospacing="1" w:after="100" w:afterAutospacing="1"/>
        <w:rPr>
          <w:rFonts w:ascii="Helvetica Neue" w:eastAsiaTheme="minorEastAsia" w:hAnsi="Helvetica Neue"/>
          <w:sz w:val="20"/>
        </w:rPr>
      </w:pPr>
      <w:r w:rsidRPr="000D05A1">
        <w:rPr>
          <w:rFonts w:ascii="Helvetica Neue" w:eastAsiaTheme="minorEastAsia" w:hAnsi="Helvetica Neue"/>
          <w:sz w:val="20"/>
        </w:rPr>
        <w:t xml:space="preserve">NOTE – The </w:t>
      </w:r>
      <w:r w:rsidRPr="000D05A1">
        <w:rPr>
          <w:rFonts w:ascii="Helvetica Neue" w:eastAsiaTheme="minorEastAsia" w:hAnsi="Helvetica Neue"/>
          <w:color w:val="0000FF"/>
          <w:sz w:val="20"/>
        </w:rPr>
        <w:t xml:space="preserve">IRS </w:t>
      </w:r>
      <w:r w:rsidRPr="000D05A1">
        <w:rPr>
          <w:rFonts w:ascii="Helvetica Neue" w:eastAsiaTheme="minorEastAsia" w:hAnsi="Helvetica Neue"/>
          <w:sz w:val="20"/>
        </w:rPr>
        <w:t xml:space="preserve">may also hold board members personally liable if the organization violates federal tax law. The most likely situation is the failure of the organization to perform mandatory payroll withholding. </w:t>
      </w:r>
    </w:p>
    <w:p w14:paraId="397C8DDC" w14:textId="77777777" w:rsidR="000D05A1" w:rsidRPr="000D05A1" w:rsidRDefault="000D05A1" w:rsidP="000D05A1">
      <w:pPr>
        <w:spacing w:before="100" w:beforeAutospacing="1" w:after="100" w:afterAutospacing="1"/>
        <w:rPr>
          <w:rFonts w:ascii="Helvetica Neue" w:eastAsiaTheme="minorEastAsia" w:hAnsi="Helvetica Neue"/>
          <w:sz w:val="20"/>
        </w:rPr>
      </w:pPr>
      <w:r w:rsidRPr="000D05A1">
        <w:rPr>
          <w:rFonts w:ascii="Helvetica Neue" w:eastAsiaTheme="minorEastAsia" w:hAnsi="Helvetica Neue"/>
          <w:sz w:val="20"/>
        </w:rPr>
        <w:t xml:space="preserve">Because there is some degree of risk, including the cost of defending a frivolous claim, board members should discuss with the organization’s legal counsel the prospect of purchasing </w:t>
      </w:r>
      <w:r w:rsidRPr="000D05A1">
        <w:rPr>
          <w:rFonts w:ascii="Helvetica Neue" w:eastAsiaTheme="minorEastAsia" w:hAnsi="Helvetica Neue"/>
          <w:color w:val="0000FF"/>
          <w:sz w:val="20"/>
        </w:rPr>
        <w:t>Directors and Officers (D &amp; O) liability insurance</w:t>
      </w:r>
      <w:r w:rsidRPr="000D05A1">
        <w:rPr>
          <w:rFonts w:ascii="Helvetica Neue" w:eastAsiaTheme="minorEastAsia" w:hAnsi="Helvetica Neue"/>
          <w:sz w:val="20"/>
        </w:rPr>
        <w:t xml:space="preserve">, and/or including indemnification provisions in the organization’s governing documents. </w:t>
      </w:r>
    </w:p>
    <w:p w14:paraId="7A5AFEEB" w14:textId="77777777" w:rsidR="000D05A1" w:rsidRPr="000D05A1" w:rsidRDefault="000D05A1" w:rsidP="000D05A1">
      <w:pPr>
        <w:spacing w:before="100" w:beforeAutospacing="1" w:after="100" w:afterAutospacing="1"/>
        <w:rPr>
          <w:rFonts w:ascii="Helvetica Neue" w:eastAsiaTheme="minorEastAsia" w:hAnsi="Helvetica Neue"/>
          <w:sz w:val="20"/>
        </w:rPr>
      </w:pPr>
      <w:r w:rsidRPr="000D05A1">
        <w:rPr>
          <w:rFonts w:ascii="Helvetica Neue" w:eastAsiaTheme="minorEastAsia" w:hAnsi="Helvetica Neue"/>
          <w:sz w:val="20"/>
        </w:rPr>
        <w:t xml:space="preserve">The organization should carry insurance appropriate to its activities (including, for example, general liability, errors and omission, automobile or malpractice) in amounts to meet its needs. The absence of appropriate insurance may cause an injured person to seek recourse from board members. If adequate insurance is in force, an injured person is less likely to seek damages from a board member. </w:t>
      </w:r>
    </w:p>
    <w:p w14:paraId="18EA0572" w14:textId="77777777" w:rsidR="0051479F" w:rsidRPr="000D05A1" w:rsidRDefault="0051479F" w:rsidP="0051479F">
      <w:pPr>
        <w:pStyle w:val="NormalWeb"/>
        <w:ind w:left="720"/>
        <w:rPr>
          <w:rFonts w:ascii="Helvetica Neue" w:hAnsi="Helvetica Neue"/>
        </w:rPr>
      </w:pPr>
    </w:p>
    <w:p w14:paraId="075AC350" w14:textId="77777777" w:rsidR="0051479F" w:rsidRPr="000D05A1" w:rsidRDefault="0051479F" w:rsidP="0051479F">
      <w:pPr>
        <w:widowControl w:val="0"/>
        <w:autoSpaceDE w:val="0"/>
        <w:autoSpaceDN w:val="0"/>
        <w:adjustRightInd w:val="0"/>
        <w:spacing w:after="293"/>
        <w:rPr>
          <w:rFonts w:ascii="Helvetica Neue" w:eastAsiaTheme="minorEastAsia" w:hAnsi="Helvetica Neue" w:cs="Arial"/>
          <w:sz w:val="20"/>
        </w:rPr>
      </w:pPr>
    </w:p>
    <w:p w14:paraId="64DF989D" w14:textId="77777777" w:rsidR="0051479F" w:rsidRPr="000D05A1" w:rsidRDefault="0051479F" w:rsidP="0051479F">
      <w:pPr>
        <w:pStyle w:val="NormalWeb"/>
        <w:ind w:left="720"/>
        <w:rPr>
          <w:rFonts w:ascii="Helvetica Neue" w:hAnsi="Helvetica Neue"/>
        </w:rPr>
      </w:pPr>
    </w:p>
    <w:p w14:paraId="1C5138B4" w14:textId="77777777" w:rsidR="0051479F" w:rsidRPr="000D05A1" w:rsidRDefault="0051479F">
      <w:pPr>
        <w:rPr>
          <w:rFonts w:ascii="Helvetica Neue" w:hAnsi="Helvetica Neue"/>
          <w:sz w:val="20"/>
        </w:rPr>
      </w:pPr>
    </w:p>
    <w:sectPr w:rsidR="0051479F" w:rsidRPr="000D05A1" w:rsidSect="00CC34B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F30BC" w14:textId="77777777" w:rsidR="0051479F" w:rsidRDefault="0051479F" w:rsidP="00CC34B9">
      <w:r>
        <w:separator/>
      </w:r>
    </w:p>
  </w:endnote>
  <w:endnote w:type="continuationSeparator" w:id="0">
    <w:p w14:paraId="1470D88D" w14:textId="77777777" w:rsidR="0051479F" w:rsidRDefault="0051479F" w:rsidP="00CC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254D" w14:textId="77777777" w:rsidR="008973FE" w:rsidRDefault="008973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F8EB" w14:textId="34EA0C24" w:rsidR="000D05A1" w:rsidRDefault="000D05A1">
    <w:pPr>
      <w:pStyle w:val="Footer"/>
    </w:pPr>
    <w:r>
      <w:t>From “Charity and Nonprofit Board Service in Washington State: A Quick Guide” by Washington Secretary of State and Washington State Office of the Attorney General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7B04" w14:textId="77777777" w:rsidR="008973FE" w:rsidRDefault="008973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B0E13" w14:textId="77777777" w:rsidR="0051479F" w:rsidRDefault="0051479F" w:rsidP="00CC34B9">
      <w:r>
        <w:separator/>
      </w:r>
    </w:p>
  </w:footnote>
  <w:footnote w:type="continuationSeparator" w:id="0">
    <w:p w14:paraId="527EC501" w14:textId="77777777" w:rsidR="0051479F" w:rsidRDefault="0051479F" w:rsidP="00CC34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644D" w14:textId="77777777" w:rsidR="008973FE" w:rsidRDefault="008973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793FB" w14:textId="2F11EEF5" w:rsidR="0051479F" w:rsidRPr="00ED7544" w:rsidRDefault="0051479F" w:rsidP="00ED7544">
    <w:pPr>
      <w:ind w:firstLine="720"/>
      <w:jc w:val="center"/>
      <w:rPr>
        <w:rFonts w:ascii="Helvetica Neue" w:hAnsi="Helvetica Neue"/>
        <w:b/>
        <w:sz w:val="32"/>
        <w:szCs w:val="32"/>
      </w:rPr>
    </w:pPr>
    <w:r>
      <w:rPr>
        <w:rFonts w:ascii="Helvetica Neue" w:hAnsi="Helvetica Neue"/>
        <w:b/>
        <w:noProof/>
        <w:sz w:val="32"/>
        <w:szCs w:val="32"/>
      </w:rPr>
      <w:drawing>
        <wp:anchor distT="0" distB="0" distL="114300" distR="114300" simplePos="0" relativeHeight="251659264" behindDoc="0" locked="0" layoutInCell="1" allowOverlap="1" wp14:anchorId="463D3E72" wp14:editId="36916DB0">
          <wp:simplePos x="0" y="0"/>
          <wp:positionH relativeFrom="column">
            <wp:posOffset>-114300</wp:posOffset>
          </wp:positionH>
          <wp:positionV relativeFrom="paragraph">
            <wp:posOffset>-228600</wp:posOffset>
          </wp:positionV>
          <wp:extent cx="800100" cy="758190"/>
          <wp:effectExtent l="0" t="0" r="12700" b="3810"/>
          <wp:wrapTight wrapText="bothSides">
            <wp:wrapPolygon edited="0">
              <wp:start x="2057" y="0"/>
              <wp:lineTo x="0" y="2894"/>
              <wp:lineTo x="0" y="18090"/>
              <wp:lineTo x="2057" y="20985"/>
              <wp:lineTo x="17143" y="20985"/>
              <wp:lineTo x="21257" y="18814"/>
              <wp:lineTo x="21257" y="2894"/>
              <wp:lineTo x="17829" y="0"/>
              <wp:lineTo x="2057" y="0"/>
            </wp:wrapPolygon>
          </wp:wrapTight>
          <wp:docPr id="2" name="Picture 2" descr="Macintosh HD:Users:BalesyBhatt:Desktop:washington-state-charter-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lesyBhatt:Desktop:washington-state-charter-schoo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Start w:id="0" w:name="_GoBack"/>
    <w:bookmarkEnd w:id="0"/>
    <w:r w:rsidRPr="00217C82">
      <w:rPr>
        <w:rFonts w:ascii="Helvetica Neue" w:hAnsi="Helvetica Neue"/>
        <w:b/>
        <w:sz w:val="32"/>
        <w:szCs w:val="32"/>
      </w:rPr>
      <w:t xml:space="preserve"> </w:t>
    </w:r>
    <w:r>
      <w:rPr>
        <w:rFonts w:ascii="Helvetica Neue" w:hAnsi="Helvetica Neue"/>
        <w:b/>
        <w:sz w:val="32"/>
        <w:szCs w:val="32"/>
      </w:rPr>
      <w:t>Sample | Board Liability Limitation and Indemnification</w:t>
    </w:r>
    <w:r w:rsidR="000D05A1">
      <w:rPr>
        <w:rFonts w:ascii="Helvetica Neue" w:hAnsi="Helvetica Neue"/>
        <w:b/>
        <w:sz w:val="32"/>
        <w:szCs w:val="32"/>
      </w:rPr>
      <w:t xml:space="preserve"> Recommendations</w:t>
    </w:r>
  </w:p>
  <w:p w14:paraId="23C4D3E9" w14:textId="77777777" w:rsidR="0051479F" w:rsidRDefault="005147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AE2E" w14:textId="77777777" w:rsidR="008973FE" w:rsidRDefault="008973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27C6B"/>
    <w:multiLevelType w:val="multilevel"/>
    <w:tmpl w:val="C2B8C0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03"/>
    <w:rsid w:val="00015406"/>
    <w:rsid w:val="000D05A1"/>
    <w:rsid w:val="002830A3"/>
    <w:rsid w:val="002E0D07"/>
    <w:rsid w:val="003801D2"/>
    <w:rsid w:val="003E6878"/>
    <w:rsid w:val="00502D60"/>
    <w:rsid w:val="0051479F"/>
    <w:rsid w:val="00544963"/>
    <w:rsid w:val="005D1F12"/>
    <w:rsid w:val="006A1364"/>
    <w:rsid w:val="008973FE"/>
    <w:rsid w:val="009B7503"/>
    <w:rsid w:val="00CC34B9"/>
    <w:rsid w:val="00ED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D3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B9"/>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50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B7503"/>
    <w:rPr>
      <w:rFonts w:ascii="Lucida Grande" w:hAnsi="Lucida Grande" w:cs="Lucida Grande"/>
      <w:sz w:val="18"/>
      <w:szCs w:val="18"/>
    </w:rPr>
  </w:style>
  <w:style w:type="paragraph" w:styleId="BodyTextIndent">
    <w:name w:val="Body Text Indent"/>
    <w:basedOn w:val="Normal"/>
    <w:link w:val="BodyTextIndentChar"/>
    <w:rsid w:val="00CC34B9"/>
    <w:pPr>
      <w:ind w:left="1440"/>
    </w:pPr>
    <w:rPr>
      <w:rFonts w:ascii="Times New Roman" w:hAnsi="Times New Roman"/>
    </w:rPr>
  </w:style>
  <w:style w:type="character" w:customStyle="1" w:styleId="BodyTextIndentChar">
    <w:name w:val="Body Text Indent Char"/>
    <w:basedOn w:val="DefaultParagraphFont"/>
    <w:link w:val="BodyTextIndent"/>
    <w:rsid w:val="00CC34B9"/>
    <w:rPr>
      <w:rFonts w:ascii="Times New Roman" w:eastAsia="Times New Roman" w:hAnsi="Times New Roman" w:cs="Times New Roman"/>
      <w:szCs w:val="20"/>
    </w:rPr>
  </w:style>
  <w:style w:type="paragraph" w:styleId="Header">
    <w:name w:val="header"/>
    <w:basedOn w:val="Normal"/>
    <w:link w:val="HeaderChar"/>
    <w:uiPriority w:val="99"/>
    <w:unhideWhenUsed/>
    <w:rsid w:val="00CC34B9"/>
    <w:pPr>
      <w:tabs>
        <w:tab w:val="center" w:pos="4320"/>
        <w:tab w:val="right" w:pos="8640"/>
      </w:tabs>
    </w:pPr>
  </w:style>
  <w:style w:type="character" w:customStyle="1" w:styleId="HeaderChar">
    <w:name w:val="Header Char"/>
    <w:basedOn w:val="DefaultParagraphFont"/>
    <w:link w:val="Header"/>
    <w:uiPriority w:val="99"/>
    <w:rsid w:val="00CC34B9"/>
    <w:rPr>
      <w:rFonts w:ascii="Book Antiqua" w:eastAsia="Times New Roman" w:hAnsi="Book Antiqua" w:cs="Times New Roman"/>
      <w:szCs w:val="20"/>
    </w:rPr>
  </w:style>
  <w:style w:type="paragraph" w:styleId="Footer">
    <w:name w:val="footer"/>
    <w:basedOn w:val="Normal"/>
    <w:link w:val="FooterChar"/>
    <w:uiPriority w:val="99"/>
    <w:unhideWhenUsed/>
    <w:rsid w:val="00CC34B9"/>
    <w:pPr>
      <w:tabs>
        <w:tab w:val="center" w:pos="4320"/>
        <w:tab w:val="right" w:pos="8640"/>
      </w:tabs>
    </w:pPr>
  </w:style>
  <w:style w:type="character" w:customStyle="1" w:styleId="FooterChar">
    <w:name w:val="Footer Char"/>
    <w:basedOn w:val="DefaultParagraphFont"/>
    <w:link w:val="Footer"/>
    <w:uiPriority w:val="99"/>
    <w:rsid w:val="00CC34B9"/>
    <w:rPr>
      <w:rFonts w:ascii="Book Antiqua" w:eastAsia="Times New Roman" w:hAnsi="Book Antiqua" w:cs="Times New Roman"/>
      <w:szCs w:val="20"/>
    </w:rPr>
  </w:style>
  <w:style w:type="paragraph" w:styleId="FootnoteText">
    <w:name w:val="footnote text"/>
    <w:basedOn w:val="Normal"/>
    <w:link w:val="FootnoteTextChar"/>
    <w:uiPriority w:val="99"/>
    <w:unhideWhenUsed/>
    <w:rsid w:val="003801D2"/>
    <w:rPr>
      <w:szCs w:val="24"/>
    </w:rPr>
  </w:style>
  <w:style w:type="character" w:customStyle="1" w:styleId="FootnoteTextChar">
    <w:name w:val="Footnote Text Char"/>
    <w:basedOn w:val="DefaultParagraphFont"/>
    <w:link w:val="FootnoteText"/>
    <w:uiPriority w:val="99"/>
    <w:rsid w:val="003801D2"/>
    <w:rPr>
      <w:rFonts w:ascii="Book Antiqua" w:eastAsia="Times New Roman" w:hAnsi="Book Antiqua" w:cs="Times New Roman"/>
    </w:rPr>
  </w:style>
  <w:style w:type="character" w:styleId="FootnoteReference">
    <w:name w:val="footnote reference"/>
    <w:basedOn w:val="DefaultParagraphFont"/>
    <w:uiPriority w:val="99"/>
    <w:unhideWhenUsed/>
    <w:rsid w:val="003801D2"/>
    <w:rPr>
      <w:vertAlign w:val="superscript"/>
    </w:rPr>
  </w:style>
  <w:style w:type="paragraph" w:styleId="NormalWeb">
    <w:name w:val="Normal (Web)"/>
    <w:basedOn w:val="Normal"/>
    <w:uiPriority w:val="99"/>
    <w:semiHidden/>
    <w:unhideWhenUsed/>
    <w:rsid w:val="0051479F"/>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B9"/>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50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B7503"/>
    <w:rPr>
      <w:rFonts w:ascii="Lucida Grande" w:hAnsi="Lucida Grande" w:cs="Lucida Grande"/>
      <w:sz w:val="18"/>
      <w:szCs w:val="18"/>
    </w:rPr>
  </w:style>
  <w:style w:type="paragraph" w:styleId="BodyTextIndent">
    <w:name w:val="Body Text Indent"/>
    <w:basedOn w:val="Normal"/>
    <w:link w:val="BodyTextIndentChar"/>
    <w:rsid w:val="00CC34B9"/>
    <w:pPr>
      <w:ind w:left="1440"/>
    </w:pPr>
    <w:rPr>
      <w:rFonts w:ascii="Times New Roman" w:hAnsi="Times New Roman"/>
    </w:rPr>
  </w:style>
  <w:style w:type="character" w:customStyle="1" w:styleId="BodyTextIndentChar">
    <w:name w:val="Body Text Indent Char"/>
    <w:basedOn w:val="DefaultParagraphFont"/>
    <w:link w:val="BodyTextIndent"/>
    <w:rsid w:val="00CC34B9"/>
    <w:rPr>
      <w:rFonts w:ascii="Times New Roman" w:eastAsia="Times New Roman" w:hAnsi="Times New Roman" w:cs="Times New Roman"/>
      <w:szCs w:val="20"/>
    </w:rPr>
  </w:style>
  <w:style w:type="paragraph" w:styleId="Header">
    <w:name w:val="header"/>
    <w:basedOn w:val="Normal"/>
    <w:link w:val="HeaderChar"/>
    <w:uiPriority w:val="99"/>
    <w:unhideWhenUsed/>
    <w:rsid w:val="00CC34B9"/>
    <w:pPr>
      <w:tabs>
        <w:tab w:val="center" w:pos="4320"/>
        <w:tab w:val="right" w:pos="8640"/>
      </w:tabs>
    </w:pPr>
  </w:style>
  <w:style w:type="character" w:customStyle="1" w:styleId="HeaderChar">
    <w:name w:val="Header Char"/>
    <w:basedOn w:val="DefaultParagraphFont"/>
    <w:link w:val="Header"/>
    <w:uiPriority w:val="99"/>
    <w:rsid w:val="00CC34B9"/>
    <w:rPr>
      <w:rFonts w:ascii="Book Antiqua" w:eastAsia="Times New Roman" w:hAnsi="Book Antiqua" w:cs="Times New Roman"/>
      <w:szCs w:val="20"/>
    </w:rPr>
  </w:style>
  <w:style w:type="paragraph" w:styleId="Footer">
    <w:name w:val="footer"/>
    <w:basedOn w:val="Normal"/>
    <w:link w:val="FooterChar"/>
    <w:uiPriority w:val="99"/>
    <w:unhideWhenUsed/>
    <w:rsid w:val="00CC34B9"/>
    <w:pPr>
      <w:tabs>
        <w:tab w:val="center" w:pos="4320"/>
        <w:tab w:val="right" w:pos="8640"/>
      </w:tabs>
    </w:pPr>
  </w:style>
  <w:style w:type="character" w:customStyle="1" w:styleId="FooterChar">
    <w:name w:val="Footer Char"/>
    <w:basedOn w:val="DefaultParagraphFont"/>
    <w:link w:val="Footer"/>
    <w:uiPriority w:val="99"/>
    <w:rsid w:val="00CC34B9"/>
    <w:rPr>
      <w:rFonts w:ascii="Book Antiqua" w:eastAsia="Times New Roman" w:hAnsi="Book Antiqua" w:cs="Times New Roman"/>
      <w:szCs w:val="20"/>
    </w:rPr>
  </w:style>
  <w:style w:type="paragraph" w:styleId="FootnoteText">
    <w:name w:val="footnote text"/>
    <w:basedOn w:val="Normal"/>
    <w:link w:val="FootnoteTextChar"/>
    <w:uiPriority w:val="99"/>
    <w:unhideWhenUsed/>
    <w:rsid w:val="003801D2"/>
    <w:rPr>
      <w:szCs w:val="24"/>
    </w:rPr>
  </w:style>
  <w:style w:type="character" w:customStyle="1" w:styleId="FootnoteTextChar">
    <w:name w:val="Footnote Text Char"/>
    <w:basedOn w:val="DefaultParagraphFont"/>
    <w:link w:val="FootnoteText"/>
    <w:uiPriority w:val="99"/>
    <w:rsid w:val="003801D2"/>
    <w:rPr>
      <w:rFonts w:ascii="Book Antiqua" w:eastAsia="Times New Roman" w:hAnsi="Book Antiqua" w:cs="Times New Roman"/>
    </w:rPr>
  </w:style>
  <w:style w:type="character" w:styleId="FootnoteReference">
    <w:name w:val="footnote reference"/>
    <w:basedOn w:val="DefaultParagraphFont"/>
    <w:uiPriority w:val="99"/>
    <w:unhideWhenUsed/>
    <w:rsid w:val="003801D2"/>
    <w:rPr>
      <w:vertAlign w:val="superscript"/>
    </w:rPr>
  </w:style>
  <w:style w:type="paragraph" w:styleId="NormalWeb">
    <w:name w:val="Normal (Web)"/>
    <w:basedOn w:val="Normal"/>
    <w:uiPriority w:val="99"/>
    <w:semiHidden/>
    <w:unhideWhenUsed/>
    <w:rsid w:val="0051479F"/>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888">
      <w:bodyDiv w:val="1"/>
      <w:marLeft w:val="0"/>
      <w:marRight w:val="0"/>
      <w:marTop w:val="0"/>
      <w:marBottom w:val="0"/>
      <w:divBdr>
        <w:top w:val="none" w:sz="0" w:space="0" w:color="auto"/>
        <w:left w:val="none" w:sz="0" w:space="0" w:color="auto"/>
        <w:bottom w:val="none" w:sz="0" w:space="0" w:color="auto"/>
        <w:right w:val="none" w:sz="0" w:space="0" w:color="auto"/>
      </w:divBdr>
      <w:divsChild>
        <w:div w:id="1032149226">
          <w:marLeft w:val="0"/>
          <w:marRight w:val="0"/>
          <w:marTop w:val="0"/>
          <w:marBottom w:val="0"/>
          <w:divBdr>
            <w:top w:val="none" w:sz="0" w:space="0" w:color="auto"/>
            <w:left w:val="none" w:sz="0" w:space="0" w:color="auto"/>
            <w:bottom w:val="none" w:sz="0" w:space="0" w:color="auto"/>
            <w:right w:val="none" w:sz="0" w:space="0" w:color="auto"/>
          </w:divBdr>
          <w:divsChild>
            <w:div w:id="1395928722">
              <w:marLeft w:val="0"/>
              <w:marRight w:val="0"/>
              <w:marTop w:val="0"/>
              <w:marBottom w:val="0"/>
              <w:divBdr>
                <w:top w:val="none" w:sz="0" w:space="0" w:color="auto"/>
                <w:left w:val="none" w:sz="0" w:space="0" w:color="auto"/>
                <w:bottom w:val="none" w:sz="0" w:space="0" w:color="auto"/>
                <w:right w:val="none" w:sz="0" w:space="0" w:color="auto"/>
              </w:divBdr>
              <w:divsChild>
                <w:div w:id="2468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41495">
      <w:bodyDiv w:val="1"/>
      <w:marLeft w:val="0"/>
      <w:marRight w:val="0"/>
      <w:marTop w:val="0"/>
      <w:marBottom w:val="0"/>
      <w:divBdr>
        <w:top w:val="none" w:sz="0" w:space="0" w:color="auto"/>
        <w:left w:val="none" w:sz="0" w:space="0" w:color="auto"/>
        <w:bottom w:val="none" w:sz="0" w:space="0" w:color="auto"/>
        <w:right w:val="none" w:sz="0" w:space="0" w:color="auto"/>
      </w:divBdr>
      <w:divsChild>
        <w:div w:id="651057986">
          <w:marLeft w:val="0"/>
          <w:marRight w:val="0"/>
          <w:marTop w:val="0"/>
          <w:marBottom w:val="0"/>
          <w:divBdr>
            <w:top w:val="none" w:sz="0" w:space="0" w:color="auto"/>
            <w:left w:val="none" w:sz="0" w:space="0" w:color="auto"/>
            <w:bottom w:val="none" w:sz="0" w:space="0" w:color="auto"/>
            <w:right w:val="none" w:sz="0" w:space="0" w:color="auto"/>
          </w:divBdr>
          <w:divsChild>
            <w:div w:id="1440251606">
              <w:marLeft w:val="0"/>
              <w:marRight w:val="0"/>
              <w:marTop w:val="0"/>
              <w:marBottom w:val="0"/>
              <w:divBdr>
                <w:top w:val="none" w:sz="0" w:space="0" w:color="auto"/>
                <w:left w:val="none" w:sz="0" w:space="0" w:color="auto"/>
                <w:bottom w:val="none" w:sz="0" w:space="0" w:color="auto"/>
                <w:right w:val="none" w:sz="0" w:space="0" w:color="auto"/>
              </w:divBdr>
              <w:divsChild>
                <w:div w:id="1936131171">
                  <w:marLeft w:val="0"/>
                  <w:marRight w:val="0"/>
                  <w:marTop w:val="0"/>
                  <w:marBottom w:val="0"/>
                  <w:divBdr>
                    <w:top w:val="none" w:sz="0" w:space="0" w:color="auto"/>
                    <w:left w:val="none" w:sz="0" w:space="0" w:color="auto"/>
                    <w:bottom w:val="none" w:sz="0" w:space="0" w:color="auto"/>
                    <w:right w:val="none" w:sz="0" w:space="0" w:color="auto"/>
                  </w:divBdr>
                </w:div>
              </w:divsChild>
            </w:div>
            <w:div w:id="2101368682">
              <w:marLeft w:val="0"/>
              <w:marRight w:val="0"/>
              <w:marTop w:val="0"/>
              <w:marBottom w:val="0"/>
              <w:divBdr>
                <w:top w:val="none" w:sz="0" w:space="0" w:color="auto"/>
                <w:left w:val="none" w:sz="0" w:space="0" w:color="auto"/>
                <w:bottom w:val="none" w:sz="0" w:space="0" w:color="auto"/>
                <w:right w:val="none" w:sz="0" w:space="0" w:color="auto"/>
              </w:divBdr>
              <w:divsChild>
                <w:div w:id="20833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5642">
          <w:marLeft w:val="0"/>
          <w:marRight w:val="0"/>
          <w:marTop w:val="0"/>
          <w:marBottom w:val="0"/>
          <w:divBdr>
            <w:top w:val="none" w:sz="0" w:space="0" w:color="auto"/>
            <w:left w:val="none" w:sz="0" w:space="0" w:color="auto"/>
            <w:bottom w:val="none" w:sz="0" w:space="0" w:color="auto"/>
            <w:right w:val="none" w:sz="0" w:space="0" w:color="auto"/>
          </w:divBdr>
          <w:divsChild>
            <w:div w:id="1180504455">
              <w:marLeft w:val="0"/>
              <w:marRight w:val="0"/>
              <w:marTop w:val="0"/>
              <w:marBottom w:val="0"/>
              <w:divBdr>
                <w:top w:val="none" w:sz="0" w:space="0" w:color="auto"/>
                <w:left w:val="none" w:sz="0" w:space="0" w:color="auto"/>
                <w:bottom w:val="none" w:sz="0" w:space="0" w:color="auto"/>
                <w:right w:val="none" w:sz="0" w:space="0" w:color="auto"/>
              </w:divBdr>
              <w:divsChild>
                <w:div w:id="2587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286</Words>
  <Characters>1633</Characters>
  <Application>Microsoft Macintosh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BalesyBhatt</dc:creator>
  <cp:keywords/>
  <dc:description/>
  <cp:lastModifiedBy>BalesyBhatt</cp:lastModifiedBy>
  <cp:revision>8</cp:revision>
  <dcterms:created xsi:type="dcterms:W3CDTF">2014-09-26T17:51:00Z</dcterms:created>
  <dcterms:modified xsi:type="dcterms:W3CDTF">2014-10-21T18:27:00Z</dcterms:modified>
</cp:coreProperties>
</file>